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Secondary Data</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“Diseases and Conditions”</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“Data and Statistics”</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“Find Data”</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“Summary”</w:t>
      </w:r>
    </w:p>
    <w:p>
      <w:pPr>
        <w:pStyle w:val="Compact"/>
        <w:numPr>
          <w:ilvl w:val="1"/>
          <w:numId w:val="1036"/>
        </w:numPr>
      </w:pPr>
      <w:r>
        <w:t xml:space="preserve">Under</w:t>
      </w:r>
      <w:r>
        <w:t xml:space="preserve"> </w:t>
      </w:r>
      <w:r>
        <w:t xml:space="preserve">“Table of Contents”</w:t>
      </w:r>
      <w:r>
        <w:t xml:space="preserve"> </w:t>
      </w:r>
      <w:r>
        <w:t xml:space="preserve">on the left hand side of the page, click on</w:t>
      </w:r>
      <w:r>
        <w:t xml:space="preserve"> </w:t>
      </w:r>
      <w:r>
        <w:t xml:space="preserve">“Methodology”</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2025-03-21T09:56:15Z</dcterms:created>
  <dcterms:modified xsi:type="dcterms:W3CDTF">2025-03-21T09:56:15Z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