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MGS2030: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Management</w:t>
      </w:r>
      <w:r>
        <w:t xml:space="preserve"> </w:t>
      </w:r>
      <w:r>
        <w:t xml:space="preserve">@</w:t>
      </w:r>
      <w:r>
        <w:t xml:space="preserve"> </w:t>
      </w:r>
      <w:r>
        <w:t xml:space="preserve">Wenzhou-Kean</w:t>
      </w:r>
      <w:r>
        <w:t xml:space="preserve"> </w:t>
      </w:r>
      <w:r>
        <w:t xml:space="preserve">Unversity</w:t>
      </w:r>
    </w:p>
    <w:p>
      <w:pPr>
        <w:pStyle w:val="Subtitle"/>
      </w:pPr>
      <w:r>
        <w:t xml:space="preserve">2025,</w:t>
      </w:r>
      <w:r>
        <w:t xml:space="preserve"> </w:t>
      </w:r>
      <w:r>
        <w:t xml:space="preserve">Spring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MGS2030: Principal of Management @ Wenzhou-Kean Unversity</dc:title>
  <dc:creator>Chad (Chungil Chae)</dc:creator>
  <cp:keywords/>
  <dcterms:created xsi:type="dcterms:W3CDTF">2025-05-25T12:17:18Z</dcterms:created>
  <dcterms:modified xsi:type="dcterms:W3CDTF">2025-05-25T12:17:18Z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