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MGS2030: Principal of Management @ Wenzhou-Kean Unversity</w:t>
      </w:r>
    </w:p>
    <w:p>
      <w:pPr>
        <w:pStyle w:val="Subtitle"/>
      </w:pPr>
      <w:r>
        <w:t xml:space="preserve">2025, Spring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Sat, 1 March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MGS2030: Principal of Management @ Wenzhou-Kean Unversity</dc:title>
  <dc:creator>Chad (Chungil Chae)</dc:creator>
  <cp:keywords/>
  <dcterms:created xsi:type="dcterms:W3CDTF">2025-03-01T00:51:43Z</dcterms:created>
  <dcterms:modified xsi:type="dcterms:W3CDTF">2025-03-01T00:51:43Z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Sat, 1 March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2025, Spring</vt:lpwstr>
  </property>
  <property fmtid="{D5CDD505-2E9C-101B-9397-08002B2CF9AE}" pid="18" name="toc-title">
    <vt:lpwstr>Table of contents</vt:lpwstr>
  </property>
</Properties>
</file>