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Secondary Data</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“Diseases and Conditions”</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“Data and Statistics”</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“Find Data”</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“Summary”</w:t>
      </w:r>
    </w:p>
    <w:p>
      <w:pPr>
        <w:pStyle w:val="Compact"/>
        <w:numPr>
          <w:ilvl w:val="1"/>
          <w:numId w:val="1036"/>
        </w:numPr>
      </w:pPr>
      <w:r>
        <w:t xml:space="preserve">Under</w:t>
      </w:r>
      <w:r>
        <w:t xml:space="preserve"> </w:t>
      </w:r>
      <w:r>
        <w:t xml:space="preserve">“Table of Contents”</w:t>
      </w:r>
      <w:r>
        <w:t xml:space="preserve"> </w:t>
      </w:r>
      <w:r>
        <w:t xml:space="preserve">on the left hand side of the page, click on</w:t>
      </w:r>
      <w:r>
        <w:t xml:space="preserve"> </w:t>
      </w:r>
      <w:r>
        <w:t xml:space="preserve">“Methodology”</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2025-05-23T14:14:53Z</dcterms:created>
  <dcterms:modified xsi:type="dcterms:W3CDTF">2025-05-23T14:14:53Z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