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Data Collection for Quantitative Research</w:t>
      </w:r>
    </w:p>
    <w:p>
      <w:pPr>
        <w:pStyle w:val="Subtitle"/>
      </w:pPr>
      <w:r>
        <w:t xml:space="preserve">GE2021 Research Technology, Fall 2026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15 September 2026</w:t>
      </w:r>
    </w:p>
    <w:bookmarkStart w:id="23" w:name="learning-objectives"/>
    <w:p>
      <w:pPr>
        <w:pStyle w:val="Heading1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7-1 Familiarize yourself with the details of experimental design.</w:t>
      </w:r>
    </w:p>
    <w:p>
      <w:pPr>
        <w:pStyle w:val="Compact"/>
        <w:numPr>
          <w:ilvl w:val="0"/>
          <w:numId w:val="1001"/>
        </w:numPr>
      </w:pPr>
      <w:r>
        <w:t xml:space="preserve">7-2 Familiarize yourself with the details of quasi-experimental design.</w:t>
      </w:r>
    </w:p>
    <w:p>
      <w:pPr>
        <w:pStyle w:val="Compact"/>
        <w:numPr>
          <w:ilvl w:val="0"/>
          <w:numId w:val="1001"/>
        </w:numPr>
      </w:pPr>
      <w:r>
        <w:t xml:space="preserve">7-3 Understand the steps of designing a survey study.</w:t>
      </w:r>
    </w:p>
    <w:p>
      <w:pPr>
        <w:pStyle w:val="Compact"/>
        <w:numPr>
          <w:ilvl w:val="0"/>
          <w:numId w:val="1001"/>
        </w:numPr>
      </w:pPr>
      <w:r>
        <w:t xml:space="preserve">7-4 Consider additional data collection sources.</w:t>
      </w:r>
    </w:p>
    <w:bookmarkStart w:id="22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https://www.youtube.com/watch?v=Vwtxlgudc4s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1">
        <w:r>
          <w:rPr>
            <w:rStyle w:val="Hyperlink"/>
          </w:rPr>
          <w:t xml:space="preserve">https://www.youtube.com/watch?v=mUfYXr4VKgI</w:t>
        </w:r>
      </w:hyperlink>
    </w:p>
    <w:bookmarkEnd w:id="22"/>
    <w:bookmarkEnd w:id="23"/>
    <w:bookmarkStart w:id="26" w:name="data-collection-in-experimental-design"/>
    <w:p>
      <w:pPr>
        <w:pStyle w:val="Heading1"/>
      </w:pPr>
      <w:r>
        <w:t xml:space="preserve">Data Collection in Experimental Design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Experimental designs are unique quantitative studies that include specific details.</w:t>
      </w:r>
    </w:p>
    <w:p>
      <w:pPr>
        <w:pStyle w:val="Compact"/>
        <w:numPr>
          <w:ilvl w:val="0"/>
          <w:numId w:val="1002"/>
        </w:numPr>
      </w:pPr>
      <w:r>
        <w:t xml:space="preserve">They attempt to investigate the possibility of how variable may affect each other in a controlled setting.</w:t>
      </w:r>
    </w:p>
    <w:bookmarkStart w:id="24" w:name="review-of-experimental-design"/>
    <w:p>
      <w:pPr>
        <w:pStyle w:val="Heading2"/>
      </w:pPr>
      <w:r>
        <w:t xml:space="preserve">Review of Experimental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Quantitative studies</w:t>
      </w:r>
      <w:r>
        <w:t xml:space="preserve"> </w:t>
      </w:r>
      <w:r>
        <w:t xml:space="preserve">collect information in the form of numbers to standardize information so that it can be processed through statistical 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Experimental research:</w:t>
      </w:r>
      <w:r>
        <w:t xml:space="preserve"> </w:t>
      </w:r>
      <w:r>
        <w:t xml:space="preserve">conducting an experiment or intervention on one of the randomly assigned groups in the study while controlling finding with a second group.</w:t>
      </w:r>
    </w:p>
    <w:p>
      <w:pPr>
        <w:pStyle w:val="Compact"/>
        <w:numPr>
          <w:ilvl w:val="1"/>
          <w:numId w:val="1004"/>
        </w:numPr>
      </w:pPr>
      <w:r>
        <w:t xml:space="preserve">The experimental group is exposed to a variable of study, while the control group experiences the same conditions, except they do not undergo any manipulation.</w:t>
      </w:r>
    </w:p>
    <w:p>
      <w:pPr>
        <w:pStyle w:val="Compact"/>
        <w:numPr>
          <w:ilvl w:val="1"/>
          <w:numId w:val="1004"/>
        </w:numPr>
      </w:pPr>
      <w:r>
        <w:t xml:space="preserve">For an experiment, the researcher needs to:</w:t>
      </w:r>
    </w:p>
    <w:p>
      <w:pPr>
        <w:pStyle w:val="Compact"/>
        <w:numPr>
          <w:ilvl w:val="2"/>
          <w:numId w:val="1005"/>
        </w:numPr>
      </w:pPr>
      <w:r>
        <w:t xml:space="preserve">Randomly assign participants into control and experimental groups</w:t>
      </w:r>
    </w:p>
    <w:p>
      <w:pPr>
        <w:pStyle w:val="Compact"/>
        <w:numPr>
          <w:ilvl w:val="2"/>
          <w:numId w:val="1005"/>
        </w:numPr>
      </w:pPr>
      <w:r>
        <w:t xml:space="preserve">Conduct a pretest and posttest to measure the expected areas of change</w:t>
      </w:r>
    </w:p>
    <w:p>
      <w:pPr>
        <w:pStyle w:val="Compact"/>
        <w:numPr>
          <w:ilvl w:val="2"/>
          <w:numId w:val="1005"/>
        </w:numPr>
      </w:pPr>
      <w:r>
        <w:t xml:space="preserve">Protect findings from other external explanations</w:t>
      </w:r>
    </w:p>
    <w:bookmarkEnd w:id="24"/>
    <w:bookmarkStart w:id="25" w:name="collecting-data-in-experimental-design"/>
    <w:p>
      <w:pPr>
        <w:pStyle w:val="Heading2"/>
      </w:pPr>
      <w:r>
        <w:t xml:space="preserve">Collecting Data in Experimental Design</w:t>
      </w:r>
    </w:p>
    <w:p>
      <w:pPr>
        <w:pStyle w:val="Compact"/>
        <w:numPr>
          <w:ilvl w:val="0"/>
          <w:numId w:val="1006"/>
        </w:numPr>
      </w:pPr>
      <w:r>
        <w:t xml:space="preserve">The data collected in the experimental design is the standardized information collected at the beginning and end of the study.</w:t>
      </w:r>
    </w:p>
    <w:p>
      <w:pPr>
        <w:pStyle w:val="Compact"/>
        <w:numPr>
          <w:ilvl w:val="1"/>
          <w:numId w:val="1007"/>
        </w:numPr>
      </w:pPr>
      <w:r>
        <w:t xml:space="preserve">In classical experimental design, both the control and intervention groups take pretests and posttests.</w:t>
      </w:r>
    </w:p>
    <w:p>
      <w:pPr>
        <w:pStyle w:val="Compact"/>
        <w:numPr>
          <w:ilvl w:val="1"/>
          <w:numId w:val="1007"/>
        </w:numPr>
      </w:pPr>
      <w:r>
        <w:t xml:space="preserve">The pretest is identical to the posttest, and if there is a statistically significant difference between them, the null hypothesis can be rejected.</w:t>
      </w:r>
    </w:p>
    <w:bookmarkEnd w:id="25"/>
    <w:bookmarkEnd w:id="26"/>
    <w:bookmarkStart w:id="27" w:name="X0b0120bd3246ee6e195db3c55b216d3e3085733"/>
    <w:p>
      <w:pPr>
        <w:pStyle w:val="Heading1"/>
      </w:pPr>
      <w:r>
        <w:t xml:space="preserve">Data Collection in Quasi-Experimental Design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classic experimental design</w:t>
      </w:r>
      <w:r>
        <w:t xml:space="preserve"> </w:t>
      </w:r>
      <w:r>
        <w:t xml:space="preserve">is not always feasible for various reasons</w:t>
      </w:r>
    </w:p>
    <w:p>
      <w:pPr>
        <w:pStyle w:val="Compact"/>
        <w:numPr>
          <w:ilvl w:val="1"/>
          <w:numId w:val="1009"/>
        </w:numPr>
      </w:pPr>
      <w:r>
        <w:t xml:space="preserve">Impossibility of randomization, non-equivalent groups available, and so 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Quasi-experimental studies</w:t>
      </w:r>
      <w:r>
        <w:t xml:space="preserve"> </w:t>
      </w:r>
      <w:r>
        <w:t xml:space="preserve">allow the researcher to conduct some form of intervention, training, or other experiment and measure the impact, without fulfilling all the required conditions for the classic experimental study.</w:t>
      </w:r>
    </w:p>
    <w:bookmarkEnd w:id="27"/>
    <w:bookmarkStart w:id="30" w:name="data-collection-in-surveys"/>
    <w:p>
      <w:pPr>
        <w:pStyle w:val="Heading1"/>
      </w:pPr>
      <w:r>
        <w:t xml:space="preserve">Data Collection in Surveys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Survey:</w:t>
      </w:r>
      <w:r>
        <w:t xml:space="preserve"> </w:t>
      </w:r>
      <w:r>
        <w:t xml:space="preserve">refers to the method of data collection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Questionnaire:</w:t>
      </w:r>
      <w:r>
        <w:t xml:space="preserve"> </w:t>
      </w:r>
      <w:r>
        <w:t xml:space="preserve">the instrument containing the questions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Non-standardized survey questionnaire:</w:t>
      </w:r>
      <w:r>
        <w:t xml:space="preserve"> </w:t>
      </w:r>
      <w:r>
        <w:t xml:space="preserve">a questionnaire that was never tested for reliability and validity.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Standardized survey questionnaire:</w:t>
      </w:r>
      <w:r>
        <w:t xml:space="preserve"> </w:t>
      </w:r>
      <w:r>
        <w:t xml:space="preserve">a questionnaire that has been tested and is a reliable and valid form of data collection.</w:t>
      </w:r>
    </w:p>
    <w:bookmarkStart w:id="28" w:name="steps-to-develop-survey"/>
    <w:p>
      <w:pPr>
        <w:pStyle w:val="Heading2"/>
      </w:pPr>
      <w:r>
        <w:t xml:space="preserve">Steps to Develop Survey</w:t>
      </w:r>
    </w:p>
    <w:p>
      <w:pPr>
        <w:pStyle w:val="Compact"/>
        <w:numPr>
          <w:ilvl w:val="0"/>
          <w:numId w:val="1011"/>
        </w:numPr>
      </w:pPr>
      <w:r>
        <w:t xml:space="preserve">Step 1. Develop a list of constructs</w:t>
      </w:r>
    </w:p>
    <w:p>
      <w:pPr>
        <w:pStyle w:val="Compact"/>
        <w:numPr>
          <w:ilvl w:val="0"/>
          <w:numId w:val="1011"/>
        </w:numPr>
      </w:pPr>
      <w:r>
        <w:t xml:space="preserve">Step 2. Determine constructs</w:t>
      </w:r>
    </w:p>
    <w:p>
      <w:pPr>
        <w:pStyle w:val="Compact"/>
        <w:numPr>
          <w:ilvl w:val="0"/>
          <w:numId w:val="1011"/>
        </w:numPr>
      </w:pPr>
      <w:r>
        <w:t xml:space="preserve">Step 3. Create the first variables</w:t>
      </w:r>
    </w:p>
    <w:p>
      <w:pPr>
        <w:pStyle w:val="Compact"/>
        <w:numPr>
          <w:ilvl w:val="0"/>
          <w:numId w:val="1011"/>
        </w:numPr>
      </w:pPr>
      <w:r>
        <w:t xml:space="preserve">Step 4. Turn constructs into variables</w:t>
      </w:r>
    </w:p>
    <w:p>
      <w:pPr>
        <w:pStyle w:val="Compact"/>
        <w:numPr>
          <w:ilvl w:val="0"/>
          <w:numId w:val="1011"/>
        </w:numPr>
      </w:pPr>
      <w:r>
        <w:t xml:space="preserve">Step 5. Tips and ideas on crafting the best possible questions</w:t>
      </w:r>
    </w:p>
    <w:p>
      <w:pPr>
        <w:pStyle w:val="Compact"/>
        <w:numPr>
          <w:ilvl w:val="0"/>
          <w:numId w:val="1011"/>
        </w:numPr>
      </w:pPr>
      <w:r>
        <w:t xml:space="preserve">Step 6. Organize in a manner that attracts and holds participant attention</w:t>
      </w:r>
    </w:p>
    <w:p>
      <w:pPr>
        <w:pStyle w:val="Compact"/>
        <w:numPr>
          <w:ilvl w:val="0"/>
          <w:numId w:val="1011"/>
        </w:numPr>
      </w:pPr>
      <w:r>
        <w:t xml:space="preserve">Step 7. Create an answer scale</w:t>
      </w:r>
    </w:p>
    <w:p>
      <w:pPr>
        <w:pStyle w:val="Compact"/>
        <w:numPr>
          <w:ilvl w:val="0"/>
          <w:numId w:val="1011"/>
        </w:numPr>
      </w:pPr>
      <w:r>
        <w:t xml:space="preserve">Step 8. Conduct a pilot study to evaluate the instrument</w:t>
      </w:r>
    </w:p>
    <w:bookmarkEnd w:id="28"/>
    <w:bookmarkStart w:id="29" w:name="details-in-the-steps"/>
    <w:p>
      <w:pPr>
        <w:pStyle w:val="Heading2"/>
      </w:pPr>
      <w:r>
        <w:t xml:space="preserve">Details in the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1. Develop a list of constructs</w:t>
      </w:r>
    </w:p>
    <w:p>
      <w:pPr>
        <w:pStyle w:val="Compact"/>
        <w:numPr>
          <w:ilvl w:val="1"/>
          <w:numId w:val="1013"/>
        </w:numPr>
      </w:pPr>
      <w:r>
        <w:t xml:space="preserve">Developing a complete list of all the items and constructs to be measured in a questionnaire stimulates thinking about ways to measure them.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2. Determine constructs</w:t>
      </w:r>
    </w:p>
    <w:p>
      <w:pPr>
        <w:pStyle w:val="Compact"/>
        <w:numPr>
          <w:ilvl w:val="1"/>
          <w:numId w:val="1014"/>
        </w:numPr>
      </w:pPr>
      <w:r>
        <w:t xml:space="preserve">From the list, figure out which ones are constructs and which ones are items to measure.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3. Create the first variables</w:t>
      </w:r>
    </w:p>
    <w:p>
      <w:pPr>
        <w:pStyle w:val="Compact"/>
        <w:numPr>
          <w:ilvl w:val="1"/>
          <w:numId w:val="1015"/>
        </w:numPr>
      </w:pPr>
      <w:r>
        <w:t xml:space="preserve">For items to be measured, it is best to look around for established survey instruments that may be related to the study.</w:t>
      </w:r>
    </w:p>
    <w:p>
      <w:pPr>
        <w:pStyle w:val="Compact"/>
        <w:numPr>
          <w:ilvl w:val="1"/>
          <w:numId w:val="1015"/>
        </w:numPr>
      </w:pPr>
      <w:r>
        <w:t xml:space="preserve">Some potential sources to find questions are U.S. Census data and questionnaires from organizations such as the Department of Education, Centers for Disease Control and Prevention, and so on.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4. Turn constructs into variables</w:t>
      </w:r>
    </w:p>
    <w:p>
      <w:pPr>
        <w:pStyle w:val="Compact"/>
        <w:numPr>
          <w:ilvl w:val="1"/>
          <w:numId w:val="1017"/>
        </w:numPr>
      </w:pPr>
      <w:r>
        <w:t xml:space="preserve">Researchers can consult the literature to look for scientific possibilities and enumerate them on the questionnaire, or create a brief, open-ended question.</w:t>
      </w:r>
    </w:p>
    <w:p>
      <w:pPr>
        <w:pStyle w:val="Compact"/>
        <w:numPr>
          <w:ilvl w:val="1"/>
          <w:numId w:val="1017"/>
        </w:numPr>
      </w:pPr>
      <w:r>
        <w:t xml:space="preserve">Closed variables have predefined answers or multiple-choice options that the participant can select from.</w:t>
      </w:r>
    </w:p>
    <w:p>
      <w:pPr>
        <w:pStyle w:val="Compact"/>
        <w:numPr>
          <w:ilvl w:val="2"/>
          <w:numId w:val="1018"/>
        </w:numPr>
      </w:pPr>
      <w:r>
        <w:t xml:space="preserve">More specific and can distinguish between categories</w:t>
      </w:r>
    </w:p>
    <w:p>
      <w:pPr>
        <w:pStyle w:val="Compact"/>
        <w:numPr>
          <w:ilvl w:val="1"/>
          <w:numId w:val="1017"/>
        </w:numPr>
      </w:pPr>
      <w:r>
        <w:t xml:space="preserve">Open variables are where a participant supplies their own answer in their own words.</w:t>
      </w:r>
    </w:p>
    <w:p>
      <w:pPr>
        <w:pStyle w:val="Compact"/>
        <w:numPr>
          <w:ilvl w:val="2"/>
          <w:numId w:val="1019"/>
        </w:numPr>
      </w:pPr>
      <w:r>
        <w:t xml:space="preserve">Not specific and best used to capture opinions, views, and attitudes, especially about sensitive topics.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5. Tips and ideas on crafting the best possible questions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Clarity:</w:t>
      </w:r>
      <w:r>
        <w:t xml:space="preserve"> </w:t>
      </w:r>
      <w:r>
        <w:t xml:space="preserve">the wording of questions needs to be clear and grammatically correct.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Simplicity:</w:t>
      </w:r>
      <w:r>
        <w:t xml:space="preserve"> </w:t>
      </w:r>
      <w:r>
        <w:t xml:space="preserve">participants donate their time to fill out a survey, and they should not need to struggle to understand what is being asked in a question.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Unbiased:</w:t>
      </w:r>
      <w:r>
        <w:t xml:space="preserve"> </w:t>
      </w:r>
      <w:r>
        <w:t xml:space="preserve">avoid guiding participants’ answers.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Intelligible:</w:t>
      </w:r>
      <w:r>
        <w:t xml:space="preserve"> </w:t>
      </w:r>
      <w:r>
        <w:t xml:space="preserve">use of technical terms can confuse participants.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Avoid Social Desirability:</w:t>
      </w:r>
      <w:r>
        <w:t xml:space="preserve"> </w:t>
      </w:r>
      <w:r>
        <w:t xml:space="preserve">social desirability is the tendency where participants want to look good and avoid the truth.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Avoid double-barreled questions:</w:t>
      </w:r>
      <w:r>
        <w:t xml:space="preserve"> </w:t>
      </w:r>
      <w:r>
        <w:t xml:space="preserve">double-vision or double-barreled question ask about more than one concept but only allow one answer from the respondent.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Avoid double-negatives:</w:t>
      </w:r>
      <w:r>
        <w:t xml:space="preserve"> </w:t>
      </w:r>
      <w:r>
        <w:t xml:space="preserve">Questions with two negative statements can be unclear.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Contingency questions:</w:t>
      </w:r>
      <w:r>
        <w:t xml:space="preserve"> </w:t>
      </w:r>
      <w:r>
        <w:t xml:space="preserve">contingency questions are follow-up questions at the end of a questionnaire; often a respondent’s answer to a question triggers another question.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Avoid dangling alternatives:</w:t>
      </w:r>
      <w:r>
        <w:t xml:space="preserve"> </w:t>
      </w:r>
      <w:r>
        <w:t xml:space="preserve">dangling alternatives are when alternatives are put in a question before introducing the topic.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Avoid hypothetical questions:</w:t>
      </w:r>
      <w:r>
        <w:t xml:space="preserve"> </w:t>
      </w:r>
      <w:r>
        <w:t xml:space="preserve">they are difficult to capture and may be understood differently by different people.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6. Organize in a manner that attracts and holds participant attention</w:t>
      </w:r>
    </w:p>
    <w:p>
      <w:pPr>
        <w:pStyle w:val="Compact"/>
        <w:numPr>
          <w:ilvl w:val="1"/>
          <w:numId w:val="1023"/>
        </w:numPr>
      </w:pPr>
      <w:r>
        <w:t xml:space="preserve">When questions bore participants, it can change their attitude towards the entire questionnaire.</w:t>
      </w:r>
    </w:p>
    <w:p>
      <w:pPr>
        <w:pStyle w:val="Compact"/>
        <w:numPr>
          <w:ilvl w:val="1"/>
          <w:numId w:val="1023"/>
        </w:numPr>
      </w:pPr>
      <w:r>
        <w:t xml:space="preserve">Their attention may decrease as they answer each question, and they are less willing to respond accurately.</w:t>
      </w:r>
    </w:p>
    <w:p>
      <w:pPr>
        <w:pStyle w:val="Compact"/>
        <w:numPr>
          <w:ilvl w:val="1"/>
          <w:numId w:val="1023"/>
        </w:numPr>
      </w:pPr>
      <w:r>
        <w:t xml:space="preserve">It is best practice to ask demographic questions at the end, after the attention-requiring questions.</w:t>
      </w:r>
    </w:p>
    <w:p>
      <w:pPr>
        <w:pStyle w:val="Compact"/>
        <w:numPr>
          <w:ilvl w:val="2"/>
          <w:numId w:val="1024"/>
        </w:numPr>
      </w:pPr>
      <w:r>
        <w:t xml:space="preserve">Participants may also be willing to answer more accurately if they have not yet exposed their identity.</w:t>
      </w:r>
    </w:p>
    <w:p>
      <w:pPr>
        <w:pStyle w:val="Compact"/>
        <w:numPr>
          <w:ilvl w:val="1"/>
          <w:numId w:val="1023"/>
        </w:numPr>
      </w:pPr>
      <w:r>
        <w:t xml:space="preserve">Questions should also follow a logical sequence.</w:t>
      </w:r>
    </w:p>
    <w:p>
      <w:pPr>
        <w:pStyle w:val="Compact"/>
        <w:numPr>
          <w:ilvl w:val="1"/>
          <w:numId w:val="1023"/>
        </w:numPr>
      </w:pPr>
      <w:r>
        <w:t xml:space="preserve">Researchers should be wary of using only scale measurements, because participants may start skipping questions or selecting the same rating repetitively.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7. Create an answer scale</w:t>
      </w:r>
    </w:p>
    <w:p>
      <w:pPr>
        <w:pStyle w:val="Compact"/>
        <w:numPr>
          <w:ilvl w:val="1"/>
          <w:numId w:val="1026"/>
        </w:numPr>
      </w:pPr>
      <w:r>
        <w:t xml:space="preserve">A scale needs to range from the maximum of a concept to the minimum of the same concept.</w:t>
      </w:r>
    </w:p>
    <w:p>
      <w:pPr>
        <w:pStyle w:val="Compact"/>
        <w:numPr>
          <w:ilvl w:val="1"/>
          <w:numId w:val="1026"/>
        </w:numPr>
      </w:pPr>
      <w:r>
        <w:t xml:space="preserve">Depending on the purpose of the question, consider having an odd or even number of response options.</w:t>
      </w:r>
    </w:p>
    <w:p>
      <w:pPr>
        <w:pStyle w:val="Compact"/>
        <w:numPr>
          <w:ilvl w:val="2"/>
          <w:numId w:val="1027"/>
        </w:numPr>
      </w:pPr>
      <w:r>
        <w:t xml:space="preserve">If you are looking to force respondents to take a stand, have an even number of options.</w:t>
      </w:r>
    </w:p>
    <w:p>
      <w:pPr>
        <w:pStyle w:val="Compact"/>
        <w:numPr>
          <w:ilvl w:val="1"/>
          <w:numId w:val="1026"/>
        </w:numPr>
      </w:pPr>
      <w:r>
        <w:t xml:space="preserve">Answers should be inclusive of all options and gradually progress from one to another.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8. Conduct a pilot study to evaluate the instrument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Pilot study:</w:t>
      </w:r>
      <w:r>
        <w:t xml:space="preserve"> </w:t>
      </w:r>
      <w:r>
        <w:t xml:space="preserve">a way of testing an instrument with a small group of participants that allows the researcher to get feedback on the instrument from them.</w:t>
      </w:r>
    </w:p>
    <w:p>
      <w:pPr>
        <w:pStyle w:val="Compact"/>
        <w:numPr>
          <w:ilvl w:val="2"/>
          <w:numId w:val="1030"/>
        </w:numPr>
      </w:pPr>
      <w:r>
        <w:t xml:space="preserve">It can give the researcher a sense of how much time respondents need to complete it, making recruiting easier.</w:t>
      </w:r>
    </w:p>
    <w:p>
      <w:pPr>
        <w:pStyle w:val="Compact"/>
        <w:numPr>
          <w:ilvl w:val="2"/>
          <w:numId w:val="1030"/>
        </w:numPr>
      </w:pPr>
      <w:r>
        <w:t xml:space="preserve">The researcher can determine any issues in understanding questions, their sequence, of it any questions caused discomfort.</w:t>
      </w:r>
    </w:p>
    <w:p>
      <w:pPr>
        <w:pStyle w:val="Compact"/>
        <w:numPr>
          <w:ilvl w:val="2"/>
          <w:numId w:val="1030"/>
        </w:numPr>
      </w:pPr>
      <w:r>
        <w:t xml:space="preserve">Participants may volunteer suggestions about certain terms or language that will best convey accurate information.</w:t>
      </w:r>
    </w:p>
    <w:p>
      <w:pPr>
        <w:pStyle w:val="Compact"/>
        <w:numPr>
          <w:ilvl w:val="2"/>
          <w:numId w:val="1030"/>
        </w:numPr>
      </w:pPr>
      <w:r>
        <w:t xml:space="preserve">The researcher can test data entry and correct any problems caused during the data collection phase.</w:t>
      </w:r>
    </w:p>
    <w:bookmarkEnd w:id="29"/>
    <w:bookmarkEnd w:id="30"/>
    <w:bookmarkStart w:id="31" w:name="methods-of-data-collection"/>
    <w:p>
      <w:pPr>
        <w:pStyle w:val="Heading1"/>
      </w:pPr>
      <w:r>
        <w:t xml:space="preserve">Methods of Data Collection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1"/>
        </w:numPr>
      </w:pPr>
      <w:r>
        <w:t xml:space="preserve">The method of data collection is focused on the process of transforming raw information from participants into measurable units that can later be analyzed.</w:t>
      </w:r>
    </w:p>
    <w:p>
      <w:pPr>
        <w:pStyle w:val="Compact"/>
        <w:numPr>
          <w:ilvl w:val="0"/>
          <w:numId w:val="1031"/>
        </w:numPr>
      </w:pPr>
      <w:r>
        <w:t xml:space="preserve">Researchers are actively involved in data collection and should follow specific rules on best practices to systematically and professionally collect the information.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Personally Collecting Questionnaires</w:t>
      </w:r>
    </w:p>
    <w:p>
      <w:pPr>
        <w:pStyle w:val="Compact"/>
        <w:numPr>
          <w:ilvl w:val="1"/>
          <w:numId w:val="1033"/>
        </w:numPr>
      </w:pPr>
      <w:r>
        <w:t xml:space="preserve">Researchers may approach people individually and ask them the questions or have them read and answer them on their own; alternatively, they could distribute written questionnaires and collect them after completion.</w:t>
      </w:r>
    </w:p>
    <w:p>
      <w:pPr>
        <w:pStyle w:val="Compact"/>
        <w:numPr>
          <w:ilvl w:val="1"/>
          <w:numId w:val="1033"/>
        </w:numPr>
      </w:pPr>
      <w:r>
        <w:t xml:space="preserve">Advantages to in-person data collection:</w:t>
      </w:r>
    </w:p>
    <w:p>
      <w:pPr>
        <w:pStyle w:val="Compact"/>
        <w:numPr>
          <w:ilvl w:val="2"/>
          <w:numId w:val="1034"/>
        </w:numPr>
      </w:pPr>
      <w:r>
        <w:t xml:space="preserve">The researcher can observe body language, record impressions, and keep records of additional information not included in the questionnaire.</w:t>
      </w:r>
    </w:p>
    <w:p>
      <w:pPr>
        <w:pStyle w:val="Compact"/>
        <w:numPr>
          <w:ilvl w:val="2"/>
          <w:numId w:val="1034"/>
        </w:numPr>
      </w:pPr>
      <w:r>
        <w:t xml:space="preserve">It is more likely that a participant will fully complete the questionnaire.</w:t>
      </w:r>
    </w:p>
    <w:p>
      <w:pPr>
        <w:pStyle w:val="Compact"/>
        <w:numPr>
          <w:ilvl w:val="2"/>
          <w:numId w:val="1034"/>
        </w:numPr>
      </w:pPr>
      <w:r>
        <w:t xml:space="preserve">A longer questionnaire is easier to complete face-to-face, since participants are more likely to talk at length to another person rather than focus on a long, written questionnaire.</w:t>
      </w:r>
    </w:p>
    <w:p>
      <w:pPr>
        <w:pStyle w:val="Compact"/>
        <w:numPr>
          <w:ilvl w:val="1"/>
          <w:numId w:val="1033"/>
        </w:numPr>
      </w:pPr>
      <w:r>
        <w:t xml:space="preserve">Disadvantages:</w:t>
      </w:r>
    </w:p>
    <w:p>
      <w:pPr>
        <w:pStyle w:val="Compact"/>
        <w:numPr>
          <w:ilvl w:val="2"/>
          <w:numId w:val="1035"/>
        </w:numPr>
      </w:pPr>
      <w:r>
        <w:t xml:space="preserve">Cost limitations</w:t>
      </w:r>
    </w:p>
    <w:p>
      <w:pPr>
        <w:pStyle w:val="Compact"/>
        <w:numPr>
          <w:ilvl w:val="2"/>
          <w:numId w:val="1035"/>
        </w:numPr>
      </w:pPr>
      <w:r>
        <w:t xml:space="preserve">Time limitations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Computer-Assisted Telephone Interviewing</w:t>
      </w:r>
    </w:p>
    <w:p>
      <w:pPr>
        <w:pStyle w:val="Compact"/>
        <w:numPr>
          <w:ilvl w:val="1"/>
          <w:numId w:val="1037"/>
        </w:numPr>
      </w:pPr>
      <w:r>
        <w:t xml:space="preserve">Computer-assisted telephone interviewing (CATI) is used to find the right respondents and sometimes to conduct the interview electronically.</w:t>
      </w:r>
    </w:p>
    <w:p>
      <w:pPr>
        <w:pStyle w:val="Compact"/>
        <w:numPr>
          <w:ilvl w:val="1"/>
          <w:numId w:val="1037"/>
        </w:numPr>
      </w:pPr>
      <w:r>
        <w:t xml:space="preserve">If CATI redirects the respondent to an interviewer, all interviewers must be trained.</w:t>
      </w:r>
    </w:p>
    <w:p>
      <w:pPr>
        <w:pStyle w:val="Compact"/>
        <w:numPr>
          <w:ilvl w:val="2"/>
          <w:numId w:val="1038"/>
        </w:numPr>
      </w:pPr>
      <w:r>
        <w:t xml:space="preserve">They should be familiar with the content of the study, set a comfortable tone, and use neutral language to avoid hinting at preferred answers.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Virtual Data Collection</w:t>
      </w:r>
    </w:p>
    <w:p>
      <w:pPr>
        <w:pStyle w:val="Compact"/>
        <w:numPr>
          <w:ilvl w:val="1"/>
          <w:numId w:val="1040"/>
        </w:numPr>
      </w:pPr>
      <w:r>
        <w:t xml:space="preserve">Online surveys have become very popular.</w:t>
      </w:r>
    </w:p>
    <w:p>
      <w:pPr>
        <w:pStyle w:val="Compact"/>
        <w:numPr>
          <w:ilvl w:val="1"/>
          <w:numId w:val="1040"/>
        </w:numPr>
      </w:pPr>
      <w:r>
        <w:t xml:space="preserve">Vast numbers of participants can be recruited in a matter of minutes, with higher response rates.</w:t>
      </w:r>
    </w:p>
    <w:p>
      <w:pPr>
        <w:pStyle w:val="Compact"/>
        <w:numPr>
          <w:ilvl w:val="2"/>
          <w:numId w:val="1041"/>
        </w:numPr>
      </w:pPr>
      <w:r>
        <w:t xml:space="preserve">Sample sizes have grown immensely because of this.</w:t>
      </w:r>
    </w:p>
    <w:p>
      <w:pPr>
        <w:pStyle w:val="Compact"/>
        <w:numPr>
          <w:ilvl w:val="1"/>
          <w:numId w:val="1040"/>
        </w:numPr>
      </w:pPr>
      <w:r>
        <w:t xml:space="preserve">Drawbacks include:</w:t>
      </w:r>
    </w:p>
    <w:p>
      <w:pPr>
        <w:pStyle w:val="Compact"/>
        <w:numPr>
          <w:ilvl w:val="2"/>
          <w:numId w:val="1042"/>
        </w:numPr>
      </w:pPr>
      <w:r>
        <w:t xml:space="preserve">A substantial portion of the population does not have access to the internet.</w:t>
      </w:r>
    </w:p>
    <w:p>
      <w:pPr>
        <w:pStyle w:val="Compact"/>
        <w:numPr>
          <w:ilvl w:val="2"/>
          <w:numId w:val="1042"/>
        </w:numPr>
      </w:pPr>
      <w:r>
        <w:t xml:space="preserve">Participants who feel strongly about an issue are more likely to participate, capturing more positive and negative extremes while missing responses tending toward the middle.</w:t>
      </w:r>
    </w:p>
    <w:p>
      <w:pPr>
        <w:pStyle w:val="Compact"/>
        <w:numPr>
          <w:ilvl w:val="2"/>
          <w:numId w:val="1042"/>
        </w:numPr>
      </w:pPr>
      <w:r>
        <w:t xml:space="preserve">The researcher cannot guarantee the identity of the respondent in an online setting.</w:t>
      </w:r>
    </w:p>
    <w:bookmarkEnd w:id="31"/>
    <w:bookmarkStart w:id="35" w:name="chapter-infographic"/>
    <w:p>
      <w:pPr>
        <w:pStyle w:val="Heading1"/>
      </w:pPr>
      <w:r>
        <w:t xml:space="preserve">Chapter Infographic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source/thumbnai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NotebookLM 생성 요약 인포그래픽. 해설 영상·팟캐스트는</w:t>
      </w:r>
      <w:r>
        <w:t xml:space="preserve"> </w:t>
      </w:r>
      <w:r>
        <w:rPr>
          <w:rStyle w:val="VerbatimChar"/>
        </w:rPr>
        <w:t xml:space="preserve">resource/</w:t>
      </w:r>
      <w:r>
        <w:t xml:space="preserve"> </w:t>
      </w:r>
      <w:r>
        <w:t xml:space="preserve">참조.</w:t>
      </w:r>
    </w:p>
    <w:bookmarkEnd w:id="35"/>
    <w:bookmarkStart w:id="52" w:name="quiz"/>
    <w:p>
      <w:pPr>
        <w:pStyle w:val="Heading1"/>
      </w:pPr>
      <w:r>
        <w:t xml:space="preserve">Quiz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02_Assets/assessment/GE2021_TestBank.xlsx</w:t>
      </w:r>
      <w:r>
        <w:t xml:space="preserve"> </w:t>
      </w:r>
      <w:r>
        <w:t xml:space="preserve">(chapter=7) · 5문항</w:t>
      </w:r>
    </w:p>
    <w:bookmarkStart w:id="39" w:name="Xae533c06fa39e431a9d66243b32caa49bc471e4"/>
    <w:p>
      <w:pPr>
        <w:pStyle w:val="Heading3"/>
      </w:pPr>
      <w:r>
        <w:t xml:space="preserve">Q1. A classic experimental design requires random assignment of participants into experimental and control groups.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TRUE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FALSE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Random assignment of participants into experimental and control groups is a basic requirement of classic experimental design.</w:t>
            </w:r>
          </w:p>
          <w:p/>
        </w:tc>
      </w:tr>
    </w:tbl>
    <w:bookmarkEnd w:id="39"/>
    <w:bookmarkStart w:id="42" w:name="X65ed45b2f55d54eadfd41795ad688f6170909cc"/>
    <w:p>
      <w:pPr>
        <w:pStyle w:val="Heading3"/>
      </w:pPr>
      <w:r>
        <w:t xml:space="preserve">Q2. Which of the following is NOT one of the three basic requirements of experimental research listed in Chapter 7?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Randomly assign participants to control and experimental groups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Conduct a pretest and a posttest to measure expected change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Protect findings from other external explanations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Use a non-probability convenience sample only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three requirements are random assignment, pretest/posttest, and protection from external explanations. Convenience-only sampling is not required.</w:t>
            </w:r>
          </w:p>
          <w:p/>
        </w:tc>
      </w:tr>
    </w:tbl>
    <w:bookmarkEnd w:id="42"/>
    <w:bookmarkStart w:id="45" w:name="X5b2a3e2f71deef9fcb03ae49cd58bfcb4e58d3a"/>
    <w:p>
      <w:pPr>
        <w:pStyle w:val="Heading3"/>
      </w:pPr>
      <w:r>
        <w:t xml:space="preserve">Q3. In an ideal experimental design, the control group is treated identically to the experimental group EXCEPT that: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It is given a different pretest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It is not exposed to the variable being manipulated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It uses different demographic criteria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It receives a different posttest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B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Control groups are kept under identical conditions but are not exposed to the manipulation/variable of interest.</w:t>
            </w:r>
          </w:p>
          <w:p/>
        </w:tc>
      </w:tr>
    </w:tbl>
    <w:bookmarkEnd w:id="45"/>
    <w:bookmarkStart w:id="48" w:name="X3c7ccfb4ff287d02db5e76aaa08721e09126ad1"/>
    <w:p>
      <w:pPr>
        <w:pStyle w:val="Heading3"/>
      </w:pPr>
      <w:r>
        <w:t xml:space="preserve">Q4. Quasi-experimental research is typically chosen when: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Random assignment is impossible or when pretest data or equivalent groups are unavailable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The study has unlimited time and budget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Researchers want to avoid using any participants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A standardized questionnaire is being used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Quasi-experimental designs are used when classic experimental conditions (e.g., randomization, pretests, equivalent groups) cannot be met.</w:t>
            </w:r>
          </w:p>
          <w:p/>
        </w:tc>
      </w:tr>
    </w:tbl>
    <w:bookmarkEnd w:id="48"/>
    <w:bookmarkStart w:id="51" w:name="X720ab701e2186661a287a04aa502127655be6fd"/>
    <w:p>
      <w:pPr>
        <w:pStyle w:val="Heading3"/>
      </w:pPr>
      <w:r>
        <w:t xml:space="preserve">Q5. A study compares students who play a poverty-simulation game with students who watch a romantic movie. The romantic-movie group serves as the: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Experimental group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Pilot sample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Control group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Stratified subgroup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C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group that does not receive the experimental manipulation (romantic movie group) is the control group.</w:t>
            </w:r>
          </w:p>
          <w:p/>
        </w:tc>
      </w:tr>
    </w:tbl>
    <w:bookmarkEnd w:id="51"/>
    <w:bookmarkEnd w:id="52"/>
    <w:bookmarkStart w:id="53" w:name="reference"/>
    <w:p>
      <w:pPr>
        <w:pStyle w:val="Heading1"/>
      </w:pPr>
      <w:r>
        <w:t xml:space="preserve">Reference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hyperlink" Id="rId20" Target="https://www.youtube.com/watch?v=Vwtxlgudc4s" TargetMode="External" /><Relationship Type="http://schemas.openxmlformats.org/officeDocument/2006/relationships/hyperlink" Id="rId21" Target="https://www.youtube.com/watch?v=mUfYXr4VKg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youtube.com/watch?v=Vwtxlgudc4s" TargetMode="External" /><Relationship Type="http://schemas.openxmlformats.org/officeDocument/2006/relationships/hyperlink" Id="rId21" Target="https://www.youtube.com/watch?v=mUfYXr4VKg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Data Collection for Quantitative Research</dc:title>
  <dc:creator>Chad (Chungil Chae)</dc:creator>
  <cp:keywords/>
  <dcterms:created xsi:type="dcterms:W3CDTF">2026-09-15T15:57:57Z</dcterms:created>
  <dcterms:modified xsi:type="dcterms:W3CDTF">2026-09-15T15:57:57Z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../../02_Assets/cite/apa.csl</vt:lpwstr>
  </property>
  <property fmtid="{D5CDD505-2E9C-101B-9397-08002B2CF9AE}" pid="8" name="date">
    <vt:lpwstr>Tue, 15 September 2026</vt:lpwstr>
  </property>
  <property fmtid="{D5CDD505-2E9C-101B-9397-08002B2CF9AE}" pid="9" name="date-format">
    <vt:lpwstr>ddd, D MMMM YYYY</vt:lpwstr>
  </property>
  <property fmtid="{D5CDD505-2E9C-101B-9397-08002B2CF9AE}" pid="10" name="geometry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vealjs-plugins">
    <vt:lpwstr/>
  </property>
  <property fmtid="{D5CDD505-2E9C-101B-9397-08002B2CF9AE}" pid="16" name="subtitle">
    <vt:lpwstr>GE2021 Research Technology, Fall 2026</vt:lpwstr>
  </property>
  <property fmtid="{D5CDD505-2E9C-101B-9397-08002B2CF9AE}" pid="17" name="toc-title">
    <vt:lpwstr>Table of contents</vt:lpwstr>
  </property>
</Properties>
</file>