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84728" w14:textId="77777777" w:rsidR="00747BE3" w:rsidRPr="004E278C" w:rsidRDefault="00747BE3" w:rsidP="009224B0">
      <w:pPr>
        <w:pStyle w:val="Heading1"/>
        <w:spacing w:after="120"/>
        <w:rPr>
          <w:b/>
          <w:color w:val="000000" w:themeColor="text1"/>
        </w:rPr>
      </w:pPr>
      <w:commentRangeStart w:id="0"/>
      <w:r w:rsidRPr="004E278C">
        <w:rPr>
          <w:b/>
          <w:color w:val="000000" w:themeColor="text1"/>
        </w:rPr>
        <w:t>Abstract</w:t>
      </w:r>
      <w:commentRangeEnd w:id="0"/>
      <w:r w:rsidR="00C06757">
        <w:rPr>
          <w:rStyle w:val="CommentReference"/>
          <w:rFonts w:cs="Times New Roman"/>
          <w:bCs w:val="0"/>
        </w:rPr>
        <w:commentReference w:id="0"/>
      </w:r>
    </w:p>
    <w:p w14:paraId="7DA95DBF" w14:textId="2A2883AA" w:rsidR="001F0B77" w:rsidRDefault="001F0B77" w:rsidP="00BB1BB6">
      <w:pPr>
        <w:spacing w:after="120"/>
        <w:rPr>
          <w:color w:val="000000" w:themeColor="text1"/>
        </w:rPr>
      </w:pPr>
      <w:r w:rsidRPr="001F0B77">
        <w:rPr>
          <w:color w:val="000000" w:themeColor="text1"/>
        </w:rPr>
        <w:t>This study has investigated the effect of digital transformation on mobility and human resource structure in Chinese firms in focusing on the integration of advanced digital technology such as artificial intelligence, blockchain, cloud computing, and big data via panel regression analysis on long-term data over ten years (2011 to 2022)</w:t>
      </w:r>
      <w:r w:rsidR="00024A89">
        <w:rPr>
          <w:color w:val="000000" w:themeColor="text1"/>
        </w:rPr>
        <w:t xml:space="preserve">. </w:t>
      </w:r>
      <w:r w:rsidRPr="001F0B77">
        <w:rPr>
          <w:color w:val="000000" w:themeColor="text1"/>
        </w:rPr>
        <w:t xml:space="preserve">This study found a correlation between firms' </w:t>
      </w:r>
      <w:r w:rsidR="009869DA">
        <w:rPr>
          <w:color w:val="000000" w:themeColor="text1"/>
        </w:rPr>
        <w:t>digital transformation</w:t>
      </w:r>
      <w:r w:rsidRPr="001F0B77">
        <w:rPr>
          <w:color w:val="000000" w:themeColor="text1"/>
        </w:rPr>
        <w:t xml:space="preserve"> and employees' education level and changes of proportion in distribution over the department. The findings show how the maturity of digital transformation increased the need for highly educated and skilled employees, and it indicates the possibility that firms with higher digital adoption rates are more likely to employ highly educated individuals. However, the result showed discrepancies between blockchain technology and current skill needs. Additionally, the findings of this study emphasize the role of the top management team in facilitating digital transformation in the firm. TMTs with diverse and high academic qualifications can effectively use digital technologies to enhance the skills of their workforce. However, the findings also point to potential challenges such as job displacement and the increasing need for continuous professional development to cope with the rapid pace of technological change.</w:t>
      </w:r>
    </w:p>
    <w:p w14:paraId="7D350C08" w14:textId="2A44F46F" w:rsidR="00747BE3" w:rsidRPr="004E278C" w:rsidRDefault="000C1083" w:rsidP="00BB1BB6">
      <w:pPr>
        <w:pStyle w:val="Heading1"/>
        <w:spacing w:after="120"/>
        <w:ind w:right="1440"/>
        <w:jc w:val="left"/>
        <w:rPr>
          <w:color w:val="000000" w:themeColor="text1"/>
        </w:rPr>
      </w:pPr>
      <w:r w:rsidRPr="004E278C">
        <w:rPr>
          <w:i/>
          <w:color w:val="000000" w:themeColor="text1"/>
        </w:rPr>
        <w:t xml:space="preserve">Keywords: </w:t>
      </w:r>
      <w:r w:rsidR="00753BDA">
        <w:rPr>
          <w:iCs/>
          <w:color w:val="000000" w:themeColor="text1"/>
        </w:rPr>
        <w:t>d</w:t>
      </w:r>
      <w:r w:rsidR="00753BDA" w:rsidRPr="00753BDA">
        <w:rPr>
          <w:iCs/>
          <w:color w:val="000000" w:themeColor="text1"/>
        </w:rPr>
        <w:t xml:space="preserve">igital </w:t>
      </w:r>
      <w:r w:rsidR="00753BDA">
        <w:rPr>
          <w:iCs/>
          <w:color w:val="000000" w:themeColor="text1"/>
        </w:rPr>
        <w:t>t</w:t>
      </w:r>
      <w:r w:rsidR="00753BDA" w:rsidRPr="00753BDA">
        <w:rPr>
          <w:iCs/>
          <w:color w:val="000000" w:themeColor="text1"/>
        </w:rPr>
        <w:t xml:space="preserve">ransformation, </w:t>
      </w:r>
      <w:r w:rsidR="00753BDA">
        <w:rPr>
          <w:iCs/>
          <w:color w:val="000000" w:themeColor="text1"/>
        </w:rPr>
        <w:t>w</w:t>
      </w:r>
      <w:r w:rsidR="00753BDA" w:rsidRPr="00753BDA">
        <w:rPr>
          <w:iCs/>
          <w:color w:val="000000" w:themeColor="text1"/>
        </w:rPr>
        <w:t xml:space="preserve">orkforce </w:t>
      </w:r>
      <w:r w:rsidR="00753BDA">
        <w:rPr>
          <w:iCs/>
          <w:color w:val="000000" w:themeColor="text1"/>
        </w:rPr>
        <w:t>m</w:t>
      </w:r>
      <w:r w:rsidR="00753BDA" w:rsidRPr="00753BDA">
        <w:rPr>
          <w:iCs/>
          <w:color w:val="000000" w:themeColor="text1"/>
        </w:rPr>
        <w:t xml:space="preserve">obility, </w:t>
      </w:r>
      <w:r w:rsidR="00753BDA">
        <w:rPr>
          <w:iCs/>
          <w:color w:val="000000" w:themeColor="text1"/>
        </w:rPr>
        <w:t>h</w:t>
      </w:r>
      <w:r w:rsidR="00753BDA" w:rsidRPr="00753BDA">
        <w:rPr>
          <w:iCs/>
          <w:color w:val="000000" w:themeColor="text1"/>
        </w:rPr>
        <w:t xml:space="preserve">uman </w:t>
      </w:r>
      <w:r w:rsidR="00753BDA">
        <w:rPr>
          <w:iCs/>
          <w:color w:val="000000" w:themeColor="text1"/>
        </w:rPr>
        <w:t>r</w:t>
      </w:r>
      <w:r w:rsidR="00753BDA" w:rsidRPr="00753BDA">
        <w:rPr>
          <w:iCs/>
          <w:color w:val="000000" w:themeColor="text1"/>
        </w:rPr>
        <w:t xml:space="preserve">esource </w:t>
      </w:r>
      <w:r w:rsidR="00753BDA">
        <w:rPr>
          <w:iCs/>
          <w:color w:val="000000" w:themeColor="text1"/>
        </w:rPr>
        <w:t>m</w:t>
      </w:r>
      <w:r w:rsidR="00753BDA" w:rsidRPr="00753BDA">
        <w:rPr>
          <w:iCs/>
          <w:color w:val="000000" w:themeColor="text1"/>
        </w:rPr>
        <w:t xml:space="preserve">anagement, </w:t>
      </w:r>
      <w:r w:rsidR="00753BDA">
        <w:rPr>
          <w:iCs/>
          <w:color w:val="000000" w:themeColor="text1"/>
        </w:rPr>
        <w:t>a</w:t>
      </w:r>
      <w:r w:rsidR="00753BDA" w:rsidRPr="00753BDA">
        <w:rPr>
          <w:iCs/>
          <w:color w:val="000000" w:themeColor="text1"/>
        </w:rPr>
        <w:t xml:space="preserve">dvanced </w:t>
      </w:r>
      <w:r w:rsidR="00753BDA">
        <w:rPr>
          <w:iCs/>
          <w:color w:val="000000" w:themeColor="text1"/>
        </w:rPr>
        <w:t>t</w:t>
      </w:r>
      <w:r w:rsidR="00753BDA" w:rsidRPr="00753BDA">
        <w:rPr>
          <w:iCs/>
          <w:color w:val="000000" w:themeColor="text1"/>
        </w:rPr>
        <w:t xml:space="preserve">echnologies, </w:t>
      </w:r>
      <w:r w:rsidR="00753BDA">
        <w:rPr>
          <w:iCs/>
          <w:color w:val="000000" w:themeColor="text1"/>
        </w:rPr>
        <w:t>o</w:t>
      </w:r>
      <w:r w:rsidR="00753BDA" w:rsidRPr="00753BDA">
        <w:rPr>
          <w:iCs/>
          <w:color w:val="000000" w:themeColor="text1"/>
        </w:rPr>
        <w:t xml:space="preserve">rganizational </w:t>
      </w:r>
      <w:r w:rsidR="00753BDA">
        <w:rPr>
          <w:iCs/>
          <w:color w:val="000000" w:themeColor="text1"/>
        </w:rPr>
        <w:t>c</w:t>
      </w:r>
      <w:r w:rsidR="00753BDA" w:rsidRPr="00753BDA">
        <w:rPr>
          <w:iCs/>
          <w:color w:val="000000" w:themeColor="text1"/>
        </w:rPr>
        <w:t>hange</w:t>
      </w:r>
    </w:p>
    <w:p w14:paraId="0840E0D8" w14:textId="77777777" w:rsidR="009D32D6" w:rsidRDefault="009D32D6" w:rsidP="00E70838">
      <w:pPr>
        <w:spacing w:after="120"/>
        <w:jc w:val="center"/>
        <w:rPr>
          <w:rFonts w:cs="Arial"/>
          <w:b/>
          <w:bCs/>
          <w:color w:val="000000" w:themeColor="text1"/>
          <w:szCs w:val="32"/>
        </w:rPr>
        <w:sectPr w:rsidR="009D32D6" w:rsidSect="000E3A94">
          <w:headerReference w:type="default" r:id="rId12"/>
          <w:type w:val="continuous"/>
          <w:pgSz w:w="12240" w:h="15840" w:code="1"/>
          <w:pgMar w:top="1440" w:right="1440" w:bottom="1440" w:left="1440" w:header="720" w:footer="720" w:gutter="0"/>
          <w:cols w:space="720"/>
          <w:docGrid w:linePitch="360"/>
        </w:sectPr>
      </w:pPr>
    </w:p>
    <w:p w14:paraId="7B1638EF" w14:textId="1442F456" w:rsidR="00E70838" w:rsidRDefault="00AC634E" w:rsidP="00E70838">
      <w:pPr>
        <w:spacing w:after="120"/>
        <w:jc w:val="center"/>
        <w:rPr>
          <w:rFonts w:cs="Arial"/>
          <w:b/>
          <w:bCs/>
          <w:color w:val="000000" w:themeColor="text1"/>
          <w:szCs w:val="32"/>
        </w:rPr>
      </w:pPr>
      <w:r w:rsidRPr="00AC634E">
        <w:rPr>
          <w:rFonts w:cs="Arial"/>
          <w:b/>
          <w:bCs/>
          <w:color w:val="000000" w:themeColor="text1"/>
          <w:szCs w:val="32"/>
        </w:rPr>
        <w:lastRenderedPageBreak/>
        <w:t>Impact of Digital Transformation on Workforce Mobility and Structure in Chinese Companies</w:t>
      </w:r>
    </w:p>
    <w:p w14:paraId="2E3F2E2D" w14:textId="028B98EC" w:rsidR="009869DA" w:rsidRPr="009869DA" w:rsidRDefault="009869DA" w:rsidP="009869DA">
      <w:pPr>
        <w:spacing w:after="120"/>
        <w:ind w:firstLine="720"/>
        <w:rPr>
          <w:color w:val="000000" w:themeColor="text1"/>
        </w:rPr>
      </w:pPr>
      <w:r w:rsidRPr="009869DA">
        <w:rPr>
          <w:color w:val="000000" w:themeColor="text1"/>
        </w:rPr>
        <w:t>Organizations increasingly use advanced digital technologies such as artificial intelligence, blockchain, cloud computing, and big data for the same reasons they used to adopt advanced technology and managerial intervention: survival. For example, in the healthcare sector, digital technology, including wearable technology, artificial intelligence, and telehealth, plays crucial roles (Newman, 2023), as reported by Forbes Technology Council. Chinese companies increasingly embrace advanced technologies in the quest for operational efficiency over digital technology, assets, and strategies to integrate into their organizational culture and customer and employee experience (Kim &amp; Song, 2022). Notably, integrating Artificial Intelligence (AI) systems within the healthcare sector emerges as a pivotal contributor to resource optimization, elevating employee satisfaction and enhancing the overall patient experience (</w:t>
      </w:r>
      <w:proofErr w:type="spellStart"/>
      <w:r w:rsidRPr="009869DA">
        <w:rPr>
          <w:color w:val="000000" w:themeColor="text1"/>
        </w:rPr>
        <w:t>Dicuonzo</w:t>
      </w:r>
      <w:proofErr w:type="spellEnd"/>
      <w:r w:rsidRPr="009869DA">
        <w:rPr>
          <w:color w:val="000000" w:themeColor="text1"/>
        </w:rPr>
        <w:t xml:space="preserve">, Donofrio, Fusco, &amp; </w:t>
      </w:r>
      <w:proofErr w:type="spellStart"/>
      <w:r w:rsidRPr="009869DA">
        <w:rPr>
          <w:color w:val="000000" w:themeColor="text1"/>
        </w:rPr>
        <w:t>Shini</w:t>
      </w:r>
      <w:proofErr w:type="spellEnd"/>
      <w:r w:rsidRPr="009869DA">
        <w:rPr>
          <w:color w:val="000000" w:themeColor="text1"/>
        </w:rPr>
        <w:t>, 2022). However, the potential impact on employment dynamics remains uncertain. The question arises: How does this transformative trajectory influence its implications for the workforce structure within the sector? What are the ramifications of sustainability in the workplace?</w:t>
      </w:r>
    </w:p>
    <w:p w14:paraId="4FC39A82" w14:textId="77777777" w:rsidR="00501A67" w:rsidRDefault="009869DA" w:rsidP="009869DA">
      <w:pPr>
        <w:spacing w:after="120"/>
        <w:ind w:firstLine="720"/>
        <w:rPr>
          <w:color w:val="000000" w:themeColor="text1"/>
        </w:rPr>
      </w:pPr>
      <w:r w:rsidRPr="009869DA">
        <w:rPr>
          <w:color w:val="000000" w:themeColor="text1"/>
        </w:rPr>
        <w:t xml:space="preserve">Digital transformation has transcended mere trend-chasing exaggeration to become a globally expected phenomenon of corporate conduct. AI systems, distinguished by their robust predictive and analytical capabilities with automation, are pivotal in mitigating burnout, minimizing operational errors, and curbing resource wastage among workers (CITATION). This positive effect improves a sound workplace environment, attracts highly skilled and educated talent, and enhances the organization's human capital (CITATION). For instance, a technologically advanced and employee-friendly environment may motivate candidates to grow </w:t>
      </w:r>
      <w:r w:rsidRPr="009869DA">
        <w:rPr>
          <w:color w:val="000000" w:themeColor="text1"/>
        </w:rPr>
        <w:lastRenderedPageBreak/>
        <w:t xml:space="preserve">their careers in such organizations, </w:t>
      </w:r>
      <w:r w:rsidR="00501A67">
        <w:rPr>
          <w:color w:val="000000" w:themeColor="text1"/>
        </w:rPr>
        <w:t>which</w:t>
      </w:r>
      <w:r w:rsidRPr="009869DA">
        <w:rPr>
          <w:color w:val="000000" w:themeColor="text1"/>
        </w:rPr>
        <w:t xml:space="preserve"> works as potential talent acquisition within the profession. Nonetheless, the concurrent outcome of this technological assimilation may reduce the workforce, thereby heightening the discernible risk of attrition for existing personnel. </w:t>
      </w:r>
    </w:p>
    <w:p w14:paraId="1EA42C83" w14:textId="60F5C641" w:rsidR="009869DA" w:rsidRPr="009869DA" w:rsidRDefault="009869DA" w:rsidP="009869DA">
      <w:pPr>
        <w:spacing w:after="120"/>
        <w:ind w:firstLine="720"/>
        <w:rPr>
          <w:color w:val="000000" w:themeColor="text1"/>
        </w:rPr>
      </w:pPr>
      <w:r w:rsidRPr="009869DA">
        <w:rPr>
          <w:color w:val="000000" w:themeColor="text1"/>
        </w:rPr>
        <w:t>Moreover, adopting these advanced technologies typically necessitates a workforce with enhanced knowledge and skills (CITATION). More talents equipped with a technology-oriented skill set and knowledge of the new technology are required to adopt and integrate advanced new technology with existing strategies and procedures in firms (CITATION). Despite the expected positive benefit of digital transformation, the heavy burden of technology assimilation may cause employee turnover. In the absence of updated skills, particularly in utilizing new systems integrated with cloud technology for data storage, older or less formally educated employees may encounter challenges that could jeopardize their job security (CITATION). This issue may not only diminish employee loyalty but also engender heightened apprehension. Therefore, the importance of ongoing skills development in which firms undergo a digital transformation to ensure workforce resilience and sustained professional engagement has been accentuated in terms of organizational change (CITATION).</w:t>
      </w:r>
    </w:p>
    <w:p w14:paraId="5A64441F" w14:textId="629ABD31" w:rsidR="009869DA" w:rsidRPr="009869DA" w:rsidRDefault="009869DA" w:rsidP="009869DA">
      <w:pPr>
        <w:spacing w:after="120"/>
        <w:ind w:firstLine="720"/>
        <w:rPr>
          <w:color w:val="000000" w:themeColor="text1"/>
        </w:rPr>
      </w:pPr>
      <w:r w:rsidRPr="009869DA">
        <w:rPr>
          <w:color w:val="000000" w:themeColor="text1"/>
        </w:rPr>
        <w:t>Therefore, this study is significant because it is the first</w:t>
      </w:r>
      <w:r w:rsidR="00AD458E">
        <w:rPr>
          <w:color w:val="000000" w:themeColor="text1"/>
        </w:rPr>
        <w:t xml:space="preserve"> attempt</w:t>
      </w:r>
      <w:r w:rsidRPr="009869DA">
        <w:rPr>
          <w:color w:val="000000" w:themeColor="text1"/>
        </w:rPr>
        <w:t xml:space="preserve"> to examine the impact of digitization technologies on employee mobility and structure. In addition to investigating the main effect of digital transformation, this study aims to </w:t>
      </w:r>
      <w:r w:rsidR="00D418A4">
        <w:rPr>
          <w:color w:val="000000" w:themeColor="text1"/>
        </w:rPr>
        <w:t>provide a comprehensive explanation of</w:t>
      </w:r>
      <w:r w:rsidRPr="009869DA">
        <w:rPr>
          <w:color w:val="000000" w:themeColor="text1"/>
        </w:rPr>
        <w:t xml:space="preserve"> the</w:t>
      </w:r>
      <w:r w:rsidR="00501A67">
        <w:rPr>
          <w:color w:val="000000" w:themeColor="text1"/>
        </w:rPr>
        <w:t xml:space="preserve"> </w:t>
      </w:r>
      <w:r w:rsidRPr="009869DA">
        <w:rPr>
          <w:color w:val="000000" w:themeColor="text1"/>
        </w:rPr>
        <w:t xml:space="preserve">effect </w:t>
      </w:r>
      <w:r>
        <w:rPr>
          <w:color w:val="000000" w:themeColor="text1"/>
        </w:rPr>
        <w:t>on</w:t>
      </w:r>
      <w:r w:rsidRPr="009869DA">
        <w:rPr>
          <w:color w:val="000000" w:themeColor="text1"/>
        </w:rPr>
        <w:t xml:space="preserve"> the workplace by distinguishing the four emerging technologies</w:t>
      </w:r>
      <w:r>
        <w:rPr>
          <w:color w:val="000000" w:themeColor="text1"/>
        </w:rPr>
        <w:t>:</w:t>
      </w:r>
      <w:r w:rsidRPr="009869DA">
        <w:rPr>
          <w:color w:val="000000" w:themeColor="text1"/>
        </w:rPr>
        <w:t xml:space="preserve"> artificial intelligence, cloud technologies, big data, and blockchain. This study extends the range of analyses by including how digitalization technology affects employees across diverse departments and educational backgrounds. </w:t>
      </w:r>
      <w:r>
        <w:rPr>
          <w:color w:val="000000" w:themeColor="text1"/>
        </w:rPr>
        <w:t xml:space="preserve">This study aims to comprehensively explain the </w:t>
      </w:r>
      <w:r>
        <w:rPr>
          <w:color w:val="000000" w:themeColor="text1"/>
        </w:rPr>
        <w:lastRenderedPageBreak/>
        <w:t>intricate interplay between technological advancements and the human resources structure by conducting a multifaceted examination of digital transformation and workforce</w:t>
      </w:r>
      <w:r w:rsidRPr="009869DA">
        <w:rPr>
          <w:color w:val="000000" w:themeColor="text1"/>
        </w:rPr>
        <w:t xml:space="preserve"> structure.</w:t>
      </w:r>
    </w:p>
    <w:p w14:paraId="53964289" w14:textId="77777777" w:rsidR="009869DA" w:rsidRPr="009869DA" w:rsidRDefault="009869DA" w:rsidP="009869DA">
      <w:pPr>
        <w:spacing w:after="120"/>
        <w:rPr>
          <w:b/>
          <w:bCs/>
          <w:color w:val="000000" w:themeColor="text1"/>
        </w:rPr>
      </w:pPr>
      <w:r w:rsidRPr="009869DA">
        <w:rPr>
          <w:b/>
          <w:bCs/>
          <w:color w:val="000000" w:themeColor="text1"/>
        </w:rPr>
        <w:t>Purpose of the Research and Objectives</w:t>
      </w:r>
    </w:p>
    <w:p w14:paraId="398C13C4" w14:textId="31BEF66F" w:rsidR="009869DA" w:rsidRPr="009869DA" w:rsidRDefault="009869DA" w:rsidP="009869DA">
      <w:pPr>
        <w:spacing w:after="120"/>
        <w:ind w:firstLine="720"/>
        <w:rPr>
          <w:color w:val="000000" w:themeColor="text1"/>
        </w:rPr>
      </w:pPr>
      <w:r w:rsidRPr="009869DA">
        <w:rPr>
          <w:color w:val="000000" w:themeColor="text1"/>
        </w:rPr>
        <w:t xml:space="preserve">This study proposes to examine the organization's technology maturity or level of integration </w:t>
      </w:r>
      <w:r>
        <w:rPr>
          <w:color w:val="000000" w:themeColor="text1"/>
        </w:rPr>
        <w:t>regarding</w:t>
      </w:r>
      <w:r w:rsidRPr="009869DA">
        <w:rPr>
          <w:color w:val="000000" w:themeColor="text1"/>
        </w:rPr>
        <w:t xml:space="preserve"> digital transformation's effect on the structure of employee education levels and distribution across departments in the organization. Using long-term panel data collected in the China Stock Market &amp; Accounting Research Database (CSMAR), specifically, this study aims to provide a proper evaluation and comprehension of how an organization's effort to integrate digital technology that is represented by advancements in technology such as artificial intelligence, blockchain, cloud computing, and big data into the organization's culture, intervention, and strategy influence human capital within the evolving corporate landscape of China.</w:t>
      </w:r>
    </w:p>
    <w:p w14:paraId="4DDF14E1" w14:textId="444BA6E1" w:rsidR="009869DA" w:rsidRPr="009869DA" w:rsidRDefault="009869DA" w:rsidP="009869DA">
      <w:pPr>
        <w:spacing w:after="120"/>
        <w:ind w:firstLine="720"/>
        <w:rPr>
          <w:color w:val="000000" w:themeColor="text1"/>
        </w:rPr>
      </w:pPr>
      <w:r w:rsidRPr="009869DA">
        <w:rPr>
          <w:color w:val="000000" w:themeColor="text1"/>
        </w:rPr>
        <w:t>To fulfill the research objective, this study tests the direct impact of digital technology integration on the educational attainment of the workforce, assuming that more digitally advanced firms are likely to employ a higher number of graduates with advanced degrees due to the complex skills required to manage and implement new technologies, and whether TMTs with higher academic qualifications; diverse experiences are more effective at using digital transformation to improve skill levels within their firms. The study also tests differentiations between types of digital technologies and their specific impacts on educational requirements</w:t>
      </w:r>
      <w:r>
        <w:rPr>
          <w:color w:val="000000" w:themeColor="text1"/>
        </w:rPr>
        <w:t>. It suggests</w:t>
      </w:r>
      <w:r w:rsidRPr="009869DA">
        <w:rPr>
          <w:color w:val="000000" w:themeColor="text1"/>
        </w:rPr>
        <w:t xml:space="preserve"> that some technologies may be more conducive to higher educational attainment within the workforce.</w:t>
      </w:r>
    </w:p>
    <w:p w14:paraId="0230CAF1" w14:textId="77777777" w:rsidR="009869DA" w:rsidRPr="009869DA" w:rsidRDefault="009869DA" w:rsidP="009869DA">
      <w:pPr>
        <w:spacing w:after="120"/>
        <w:ind w:left="720"/>
        <w:rPr>
          <w:color w:val="000000" w:themeColor="text1"/>
        </w:rPr>
      </w:pPr>
      <w:r w:rsidRPr="009869DA">
        <w:rPr>
          <w:color w:val="000000" w:themeColor="text1"/>
        </w:rPr>
        <w:t>Hypothesis 1. Higher degrees of digitalization in Chinese listed companies are associated with an increased proportion of employees holding higher education degrees.</w:t>
      </w:r>
    </w:p>
    <w:p w14:paraId="24E632CE" w14:textId="1419775D" w:rsidR="009869DA" w:rsidRPr="009869DA" w:rsidRDefault="009869DA" w:rsidP="009869DA">
      <w:pPr>
        <w:spacing w:after="120"/>
        <w:ind w:left="720"/>
        <w:rPr>
          <w:color w:val="000000" w:themeColor="text1"/>
        </w:rPr>
      </w:pPr>
      <w:r w:rsidRPr="009869DA">
        <w:rPr>
          <w:color w:val="000000" w:themeColor="text1"/>
        </w:rPr>
        <w:lastRenderedPageBreak/>
        <w:t xml:space="preserve">Hypothesis 2. The characteristics of the Top Management Team (TMT), specifically their academic background and experience, moderate the relationship between digitalization and </w:t>
      </w:r>
      <w:r>
        <w:rPr>
          <w:color w:val="000000" w:themeColor="text1"/>
        </w:rPr>
        <w:t>employees' educational structure</w:t>
      </w:r>
      <w:r w:rsidRPr="009869DA">
        <w:rPr>
          <w:color w:val="000000" w:themeColor="text1"/>
        </w:rPr>
        <w:t>.</w:t>
      </w:r>
    </w:p>
    <w:p w14:paraId="12FC3F4C" w14:textId="4F92DCB8" w:rsidR="00755094" w:rsidRPr="009869DA" w:rsidRDefault="009869DA" w:rsidP="009869DA">
      <w:pPr>
        <w:spacing w:after="120"/>
        <w:ind w:left="720"/>
        <w:rPr>
          <w:color w:val="000000" w:themeColor="text1"/>
        </w:rPr>
      </w:pPr>
      <w:r w:rsidRPr="009869DA">
        <w:rPr>
          <w:color w:val="000000" w:themeColor="text1"/>
        </w:rPr>
        <w:t>Hypothesis 3: different digital technologies (AI, Big Data, Blockchain, Cloud Technology) have varying impacts on the proportion of higher-educated employees.</w:t>
      </w:r>
      <w:r w:rsidR="00755094" w:rsidRPr="009869DA">
        <w:rPr>
          <w:color w:val="000000" w:themeColor="text1"/>
        </w:rPr>
        <w:t xml:space="preserve"> </w:t>
      </w:r>
    </w:p>
    <w:p w14:paraId="7AE128FA" w14:textId="2CC91426" w:rsidR="00755094" w:rsidRPr="00755094" w:rsidRDefault="00755094" w:rsidP="00755094">
      <w:pPr>
        <w:spacing w:after="120"/>
        <w:jc w:val="center"/>
        <w:rPr>
          <w:b/>
          <w:bCs/>
          <w:color w:val="000000" w:themeColor="text1"/>
        </w:rPr>
      </w:pPr>
      <w:r w:rsidRPr="00755094">
        <w:rPr>
          <w:b/>
          <w:bCs/>
          <w:color w:val="000000" w:themeColor="text1"/>
        </w:rPr>
        <w:t>Literature Review</w:t>
      </w:r>
    </w:p>
    <w:p w14:paraId="17EB661C" w14:textId="326220D9" w:rsidR="009869DA" w:rsidRPr="009869DA" w:rsidRDefault="009869DA" w:rsidP="009869DA">
      <w:pPr>
        <w:pStyle w:val="BodyText"/>
        <w:spacing w:after="120"/>
        <w:rPr>
          <w:bCs/>
          <w:color w:val="000000" w:themeColor="text1"/>
        </w:rPr>
      </w:pPr>
      <w:r w:rsidRPr="009869DA">
        <w:rPr>
          <w:bCs/>
          <w:color w:val="000000" w:themeColor="text1"/>
        </w:rPr>
        <w:t xml:space="preserve">Emerging digital transformation trends </w:t>
      </w:r>
      <w:r w:rsidR="00B162BB">
        <w:rPr>
          <w:bCs/>
          <w:color w:val="000000" w:themeColor="text1"/>
        </w:rPr>
        <w:t xml:space="preserve">in </w:t>
      </w:r>
      <w:r w:rsidRPr="009869DA">
        <w:rPr>
          <w:bCs/>
          <w:color w:val="000000" w:themeColor="text1"/>
        </w:rPr>
        <w:t xml:space="preserve">2023 indicate a continued focus on enhancing customer experiences and managing data effectively, with the metaverse poised to play a significant role (Casino, </w:t>
      </w:r>
      <w:proofErr w:type="spellStart"/>
      <w:r w:rsidRPr="009869DA">
        <w:rPr>
          <w:bCs/>
          <w:color w:val="000000" w:themeColor="text1"/>
        </w:rPr>
        <w:t>Dasaklis</w:t>
      </w:r>
      <w:proofErr w:type="spellEnd"/>
      <w:r w:rsidRPr="009869DA">
        <w:rPr>
          <w:bCs/>
          <w:color w:val="000000" w:themeColor="text1"/>
        </w:rPr>
        <w:t xml:space="preserve">, &amp; </w:t>
      </w:r>
      <w:proofErr w:type="spellStart"/>
      <w:r w:rsidRPr="009869DA">
        <w:rPr>
          <w:bCs/>
          <w:color w:val="000000" w:themeColor="text1"/>
        </w:rPr>
        <w:t>Patsakis</w:t>
      </w:r>
      <w:proofErr w:type="spellEnd"/>
      <w:r w:rsidRPr="009869DA">
        <w:rPr>
          <w:bCs/>
          <w:color w:val="000000" w:themeColor="text1"/>
        </w:rPr>
        <w:t xml:space="preserve">, 2019). However, the adoption of digital technologies also introduces challenges. For example, </w:t>
      </w:r>
      <w:proofErr w:type="spellStart"/>
      <w:r w:rsidRPr="009869DA">
        <w:rPr>
          <w:bCs/>
          <w:color w:val="000000" w:themeColor="text1"/>
        </w:rPr>
        <w:t>Gjellebæk</w:t>
      </w:r>
      <w:proofErr w:type="spellEnd"/>
      <w:r w:rsidRPr="009869DA">
        <w:rPr>
          <w:bCs/>
          <w:color w:val="000000" w:themeColor="text1"/>
        </w:rPr>
        <w:t xml:space="preserve"> et al. (2020) and Palumbo &amp; </w:t>
      </w:r>
      <w:proofErr w:type="spellStart"/>
      <w:r w:rsidRPr="009869DA">
        <w:rPr>
          <w:bCs/>
          <w:color w:val="000000" w:themeColor="text1"/>
        </w:rPr>
        <w:t>Cavallone</w:t>
      </w:r>
      <w:proofErr w:type="spellEnd"/>
      <w:r w:rsidRPr="009869DA">
        <w:rPr>
          <w:bCs/>
          <w:color w:val="000000" w:themeColor="text1"/>
        </w:rPr>
        <w:t xml:space="preserve"> (2022) discuss how digital transformation can lead to job uncertainty and lower job satisfaction, highlighting the need for ongoing learning and adaptation among employees. Also</w:t>
      </w:r>
      <w:r>
        <w:rPr>
          <w:bCs/>
          <w:color w:val="000000" w:themeColor="text1"/>
        </w:rPr>
        <w:t>, blockchain technology has emerged to revolutionize business practices across sectors because of its characteristics, which secure transactions through</w:t>
      </w:r>
      <w:r w:rsidRPr="009869DA">
        <w:rPr>
          <w:bCs/>
          <w:color w:val="000000" w:themeColor="text1"/>
        </w:rPr>
        <w:t xml:space="preserve"> distributed computer networks.</w:t>
      </w:r>
    </w:p>
    <w:p w14:paraId="208180CB" w14:textId="3A509BF2" w:rsidR="009869DA" w:rsidRPr="009869DA" w:rsidRDefault="009869DA" w:rsidP="009869DA">
      <w:pPr>
        <w:pStyle w:val="BodyText"/>
        <w:spacing w:after="120"/>
        <w:rPr>
          <w:bCs/>
          <w:color w:val="000000" w:themeColor="text1"/>
        </w:rPr>
      </w:pPr>
      <w:r w:rsidRPr="009869DA">
        <w:rPr>
          <w:bCs/>
          <w:color w:val="000000" w:themeColor="text1"/>
        </w:rPr>
        <w:t xml:space="preserve">About digital transformation and its positive effect on the organization, Kraus, Schiavone, </w:t>
      </w:r>
      <w:proofErr w:type="spellStart"/>
      <w:r w:rsidRPr="009869DA">
        <w:rPr>
          <w:bCs/>
          <w:color w:val="000000" w:themeColor="text1"/>
        </w:rPr>
        <w:t>Pluzhnikova</w:t>
      </w:r>
      <w:proofErr w:type="spellEnd"/>
      <w:r w:rsidRPr="009869DA">
        <w:rPr>
          <w:bCs/>
          <w:color w:val="000000" w:themeColor="text1"/>
        </w:rPr>
        <w:t xml:space="preserve">, and </w:t>
      </w:r>
      <w:proofErr w:type="spellStart"/>
      <w:r w:rsidRPr="009869DA">
        <w:rPr>
          <w:bCs/>
          <w:color w:val="000000" w:themeColor="text1"/>
        </w:rPr>
        <w:t>Invernizzi</w:t>
      </w:r>
      <w:proofErr w:type="spellEnd"/>
      <w:r w:rsidRPr="009869DA">
        <w:rPr>
          <w:bCs/>
          <w:color w:val="000000" w:themeColor="text1"/>
        </w:rPr>
        <w:t xml:space="preserve"> (2021) provide a comprehensive review of digital transformation in healthcare, categorizing existing research into operational efficiency, patient-centered approaches, and workforce practices. This systematic categorization aids in understanding how various technology implementations can enhance healthcare operational efficiency. The influence of digital manufacturing technologies (DMTs) on firm performance is also significant. Studies suggest that the organizational and environmental contexts influence the adoption of DMTs, </w:t>
      </w:r>
      <w:r>
        <w:rPr>
          <w:bCs/>
          <w:color w:val="000000" w:themeColor="text1"/>
        </w:rPr>
        <w:t>affecting</w:t>
      </w:r>
      <w:r w:rsidRPr="009869DA">
        <w:rPr>
          <w:bCs/>
          <w:color w:val="000000" w:themeColor="text1"/>
        </w:rPr>
        <w:t xml:space="preserve"> various performance metrics like flexibility, design, delivery, and </w:t>
      </w:r>
      <w:r w:rsidRPr="009869DA">
        <w:rPr>
          <w:bCs/>
          <w:color w:val="000000" w:themeColor="text1"/>
        </w:rPr>
        <w:lastRenderedPageBreak/>
        <w:t xml:space="preserve">quality, highlighting the need for organizations to adapt their structures to technological advancements (Gillani et al., 2020). </w:t>
      </w:r>
    </w:p>
    <w:p w14:paraId="06B443C3" w14:textId="28724D9C" w:rsidR="009869DA" w:rsidRPr="009869DA" w:rsidRDefault="009869DA" w:rsidP="009869DA">
      <w:pPr>
        <w:pStyle w:val="BodyText"/>
        <w:spacing w:after="120"/>
        <w:rPr>
          <w:bCs/>
          <w:color w:val="000000" w:themeColor="text1"/>
        </w:rPr>
      </w:pPr>
      <w:r w:rsidRPr="009869DA">
        <w:rPr>
          <w:bCs/>
          <w:color w:val="000000" w:themeColor="text1"/>
        </w:rPr>
        <w:t xml:space="preserve">The investigation into the effects of digital transformation across academia spans from financial impacts to human factors. First, </w:t>
      </w:r>
      <w:proofErr w:type="spellStart"/>
      <w:r w:rsidRPr="009869DA">
        <w:rPr>
          <w:bCs/>
          <w:color w:val="000000" w:themeColor="text1"/>
        </w:rPr>
        <w:t>Alarussi</w:t>
      </w:r>
      <w:proofErr w:type="spellEnd"/>
      <w:r w:rsidRPr="009869DA">
        <w:rPr>
          <w:bCs/>
          <w:color w:val="000000" w:themeColor="text1"/>
        </w:rPr>
        <w:t xml:space="preserve"> and Gao (2021) examined the influence of financial variables on the profitability of non-financial Chinese companies; they found positive correlations between profitability and aspects such as firm size, working capital, and intangible assets while identifying a negative relationship with liquidity. This finding suggests that proficient resource management and efficient utilization of liquid assets are crucial for boosting profitability. However, the effects of leverage present a more complex behavior, indicating a nuanced relationship between debt and profitability. Another industrial sector that is proactively adopting digital transformation is the healthcare sector. To improve efficiency, safety, stability, and accessibility, the healthcare industry has been applying machine learning, natural language processing, and artificial intelligence. It plays an important role in attaining value-centered medication</w:t>
      </w:r>
      <w:r w:rsidR="00B162BB">
        <w:rPr>
          <w:bCs/>
          <w:color w:val="000000" w:themeColor="text1"/>
        </w:rPr>
        <w:t>. It</w:t>
      </w:r>
      <w:r w:rsidRPr="009869DA">
        <w:rPr>
          <w:bCs/>
          <w:color w:val="000000" w:themeColor="text1"/>
        </w:rPr>
        <w:t xml:space="preserve"> </w:t>
      </w:r>
      <w:r w:rsidR="00B162BB">
        <w:rPr>
          <w:bCs/>
          <w:color w:val="000000" w:themeColor="text1"/>
        </w:rPr>
        <w:t>also has</w:t>
      </w:r>
      <w:r w:rsidRPr="009869DA">
        <w:rPr>
          <w:bCs/>
          <w:color w:val="000000" w:themeColor="text1"/>
        </w:rPr>
        <w:t xml:space="preserve"> a high potential to </w:t>
      </w:r>
      <w:r w:rsidR="00B162BB">
        <w:rPr>
          <w:bCs/>
          <w:color w:val="000000" w:themeColor="text1"/>
        </w:rPr>
        <w:t>change</w:t>
      </w:r>
      <w:r w:rsidRPr="009869DA">
        <w:rPr>
          <w:bCs/>
          <w:color w:val="000000" w:themeColor="text1"/>
        </w:rPr>
        <w:t xml:space="preserve"> overall </w:t>
      </w:r>
      <w:r w:rsidR="00B162BB">
        <w:rPr>
          <w:bCs/>
          <w:color w:val="000000" w:themeColor="text1"/>
        </w:rPr>
        <w:t>organizational intervention</w:t>
      </w:r>
      <w:r w:rsidRPr="009869DA">
        <w:rPr>
          <w:bCs/>
          <w:color w:val="000000" w:themeColor="text1"/>
        </w:rPr>
        <w:t xml:space="preserve"> (Chen &amp; </w:t>
      </w:r>
      <w:proofErr w:type="spellStart"/>
      <w:r w:rsidRPr="009869DA">
        <w:rPr>
          <w:bCs/>
          <w:color w:val="000000" w:themeColor="text1"/>
        </w:rPr>
        <w:t>Décary</w:t>
      </w:r>
      <w:proofErr w:type="spellEnd"/>
      <w:r w:rsidRPr="009869DA">
        <w:rPr>
          <w:bCs/>
          <w:color w:val="000000" w:themeColor="text1"/>
        </w:rPr>
        <w:t xml:space="preserve">, 2019). </w:t>
      </w:r>
    </w:p>
    <w:p w14:paraId="659DC67E" w14:textId="4C985539" w:rsidR="008123E4" w:rsidRPr="008123E4" w:rsidRDefault="009869DA" w:rsidP="009869DA">
      <w:pPr>
        <w:pStyle w:val="BodyText"/>
        <w:spacing w:after="120"/>
        <w:rPr>
          <w:bCs/>
          <w:color w:val="000000" w:themeColor="text1"/>
        </w:rPr>
      </w:pPr>
      <w:r w:rsidRPr="009869DA">
        <w:rPr>
          <w:bCs/>
          <w:color w:val="000000" w:themeColor="text1"/>
        </w:rPr>
        <w:t xml:space="preserve">On the other hand, studies investigate the relationship between digital transformation and employee competency and skill. Firms that are undergoing digital transformation require advanced technological skills and knowledge. Thus, this highlights the need for workers to adapt and upgrade their skills to succeed in a digitally evolving workforce (Li, Yang, &amp; Yin, 2024). Specifically, it is reported that AI technology increases an organization's financial and operational performance by optimizing HR intervention (Li et al., 2023). The relationship between the digitalization of labor processes and employment changes in Italy underscores that digitally intensive occupations tend to expand, mainly when digital usage is high. However, </w:t>
      </w:r>
      <w:r w:rsidRPr="009869DA">
        <w:rPr>
          <w:bCs/>
          <w:color w:val="000000" w:themeColor="text1"/>
        </w:rPr>
        <w:lastRenderedPageBreak/>
        <w:t>digitally intensive and routine jobs face growth challenges, supporting the hypothesis of routine-biased technological change (Cirillo et al., 2021).</w:t>
      </w:r>
    </w:p>
    <w:p w14:paraId="795BC299" w14:textId="71C6355D" w:rsidR="00335D13" w:rsidRPr="004E278C" w:rsidRDefault="00E8768E" w:rsidP="009224B0">
      <w:pPr>
        <w:pStyle w:val="BodyText"/>
        <w:spacing w:after="120"/>
        <w:ind w:firstLine="0"/>
        <w:jc w:val="center"/>
        <w:rPr>
          <w:b/>
          <w:color w:val="000000" w:themeColor="text1"/>
        </w:rPr>
      </w:pPr>
      <w:r>
        <w:rPr>
          <w:b/>
          <w:color w:val="000000" w:themeColor="text1"/>
        </w:rPr>
        <w:t>Method</w:t>
      </w:r>
    </w:p>
    <w:p w14:paraId="306CFF75" w14:textId="77777777" w:rsidR="009224B0" w:rsidRPr="009224B0" w:rsidRDefault="009224B0" w:rsidP="009224B0">
      <w:pPr>
        <w:pStyle w:val="BodyText"/>
        <w:spacing w:after="120"/>
        <w:ind w:firstLine="0"/>
        <w:rPr>
          <w:bCs/>
          <w:color w:val="000000" w:themeColor="text1"/>
        </w:rPr>
      </w:pPr>
      <w:r w:rsidRPr="009224B0">
        <w:rPr>
          <w:b/>
          <w:bCs/>
          <w:color w:val="000000" w:themeColor="text1"/>
        </w:rPr>
        <w:t>Sample Selection</w:t>
      </w:r>
    </w:p>
    <w:p w14:paraId="0B1CB89D" w14:textId="77777777" w:rsidR="009869DA" w:rsidRDefault="009869DA" w:rsidP="009869DA">
      <w:pPr>
        <w:pStyle w:val="BodyText"/>
        <w:spacing w:after="120"/>
        <w:rPr>
          <w:bCs/>
          <w:color w:val="000000" w:themeColor="text1"/>
        </w:rPr>
      </w:pPr>
      <w:r w:rsidRPr="009869DA">
        <w:rPr>
          <w:bCs/>
          <w:color w:val="000000" w:themeColor="text1"/>
        </w:rPr>
        <w:t>This study focuses on the 3,879 Chinese listed firms from 2011 to 2022 to capture China's digitalization surge and leverage available data while avoiding the immediate post-crisis years. The financial indicators and essential information are collected from the China Stock Market &amp; Accounting Research Database (CSMAR), Wind terminal, and listed firms' annual reports. The official annual reports of those listed firms verify the collected data. This study removes all the firms under financial</w:t>
      </w:r>
      <w:r>
        <w:rPr>
          <w:bCs/>
          <w:color w:val="000000" w:themeColor="text1"/>
        </w:rPr>
        <w:t>-</w:t>
      </w:r>
      <w:r w:rsidRPr="009869DA">
        <w:rPr>
          <w:bCs/>
          <w:color w:val="000000" w:themeColor="text1"/>
        </w:rPr>
        <w:t xml:space="preserve">related industries and special treatment (ST). After cleaning missing values, this study merges each data section based on the companies’ identifiers and specific years. </w:t>
      </w:r>
    </w:p>
    <w:p w14:paraId="5F7F0617" w14:textId="536CAC59" w:rsidR="009224B0" w:rsidRPr="009224B0" w:rsidRDefault="009224B0" w:rsidP="009869DA">
      <w:pPr>
        <w:pStyle w:val="BodyText"/>
        <w:spacing w:after="120"/>
        <w:ind w:firstLine="0"/>
        <w:rPr>
          <w:b/>
          <w:bCs/>
          <w:color w:val="000000" w:themeColor="text1"/>
        </w:rPr>
      </w:pPr>
      <w:r w:rsidRPr="009224B0">
        <w:rPr>
          <w:b/>
          <w:bCs/>
          <w:color w:val="000000" w:themeColor="text1"/>
        </w:rPr>
        <w:t xml:space="preserve">Variables and Measures </w:t>
      </w:r>
    </w:p>
    <w:p w14:paraId="1BE6CE7F" w14:textId="77777777" w:rsidR="009224B0" w:rsidRPr="009224B0" w:rsidRDefault="009224B0" w:rsidP="009224B0">
      <w:pPr>
        <w:pStyle w:val="BodyText"/>
        <w:spacing w:after="120"/>
        <w:ind w:firstLine="0"/>
        <w:rPr>
          <w:bCs/>
          <w:color w:val="000000" w:themeColor="text1"/>
        </w:rPr>
      </w:pPr>
      <w:r w:rsidRPr="009224B0">
        <w:rPr>
          <w:b/>
          <w:bCs/>
          <w:i/>
          <w:iCs/>
          <w:color w:val="000000" w:themeColor="text1"/>
        </w:rPr>
        <w:t>Dependent Variables: Employees’ Structure</w:t>
      </w:r>
    </w:p>
    <w:p w14:paraId="008C9EBB" w14:textId="1E31E93B" w:rsidR="009224B0" w:rsidRPr="009224B0" w:rsidRDefault="009869DA" w:rsidP="009224B0">
      <w:pPr>
        <w:pStyle w:val="BodyText"/>
        <w:spacing w:after="120"/>
        <w:rPr>
          <w:bCs/>
          <w:color w:val="000000" w:themeColor="text1"/>
        </w:rPr>
      </w:pPr>
      <w:r w:rsidRPr="009869DA">
        <w:rPr>
          <w:bCs/>
          <w:color w:val="000000" w:themeColor="text1"/>
        </w:rPr>
        <w:t xml:space="preserve">The study discusses the employees’ structure from three perspectives: education, age, and department. For the department structure, this study focuses on the proportion of employees working within the diverse departments. </w:t>
      </w:r>
      <w:r>
        <w:rPr>
          <w:bCs/>
          <w:color w:val="000000" w:themeColor="text1"/>
        </w:rPr>
        <w:t>The e</w:t>
      </w:r>
      <w:r w:rsidRPr="009869DA">
        <w:rPr>
          <w:bCs/>
          <w:color w:val="000000" w:themeColor="text1"/>
        </w:rPr>
        <w:t xml:space="preserve">ducation structure in this study refers to the proportion of employees with higher education. For </w:t>
      </w:r>
      <w:r w:rsidRPr="009869DA">
        <w:rPr>
          <w:bCs/>
          <w:i/>
          <w:iCs/>
          <w:color w:val="000000" w:themeColor="text1"/>
        </w:rPr>
        <w:t xml:space="preserve">Degree </w:t>
      </w:r>
      <w:r w:rsidRPr="009869DA">
        <w:rPr>
          <w:bCs/>
          <w:color w:val="000000" w:themeColor="text1"/>
        </w:rPr>
        <w:t xml:space="preserve">and </w:t>
      </w:r>
      <w:proofErr w:type="spellStart"/>
      <w:r w:rsidRPr="009869DA">
        <w:rPr>
          <w:bCs/>
          <w:i/>
          <w:iCs/>
          <w:color w:val="000000" w:themeColor="text1"/>
        </w:rPr>
        <w:t>DegreeP</w:t>
      </w:r>
      <w:proofErr w:type="spellEnd"/>
      <w:r w:rsidRPr="009869DA">
        <w:rPr>
          <w:bCs/>
          <w:color w:val="000000" w:themeColor="text1"/>
        </w:rPr>
        <w:t>, the former literature measures higher education as the absolute number of bachelor’s degree</w:t>
      </w:r>
      <w:r>
        <w:rPr>
          <w:bCs/>
          <w:color w:val="000000" w:themeColor="text1"/>
        </w:rPr>
        <w:t>s (Chen et al., 2023) or the percentage of</w:t>
      </w:r>
      <w:r w:rsidRPr="009869DA">
        <w:rPr>
          <w:bCs/>
          <w:color w:val="000000" w:themeColor="text1"/>
        </w:rPr>
        <w:t xml:space="preserve"> employees (Kong et al., 2022). Our result shows that only 5.259% of employees have a master’s degree or higher on average. However, Chen et al. (2023) report that </w:t>
      </w:r>
      <w:r>
        <w:rPr>
          <w:bCs/>
          <w:color w:val="000000" w:themeColor="text1"/>
        </w:rPr>
        <w:t>the number of higher-education employees</w:t>
      </w:r>
      <w:r w:rsidRPr="009869DA">
        <w:rPr>
          <w:bCs/>
          <w:color w:val="000000" w:themeColor="text1"/>
        </w:rPr>
        <w:t xml:space="preserve"> increased by 89% from 19% in 2008 to 36% in 2021 </w:t>
      </w:r>
      <w:r w:rsidRPr="009869DA">
        <w:rPr>
          <w:bCs/>
          <w:color w:val="000000" w:themeColor="text1"/>
        </w:rPr>
        <w:lastRenderedPageBreak/>
        <w:t xml:space="preserve">among Chinese domestic non-financial A-share enterprises. The difference in the proportion results from the different definitions of higher education. Chen et al. (2023) </w:t>
      </w:r>
      <w:proofErr w:type="gramStart"/>
      <w:r w:rsidRPr="009869DA">
        <w:rPr>
          <w:bCs/>
          <w:color w:val="000000" w:themeColor="text1"/>
        </w:rPr>
        <w:t>utilize</w:t>
      </w:r>
      <w:proofErr w:type="gramEnd"/>
      <w:r w:rsidRPr="009869DA">
        <w:rPr>
          <w:bCs/>
          <w:color w:val="000000" w:themeColor="text1"/>
        </w:rPr>
        <w:t xml:space="preserve"> the bachelor's degree as the higher education level. The similar traits between bachelor's and master’s degree-holding employees, as well as the possible future trend of masters in the job market, ha</w:t>
      </w:r>
      <w:r>
        <w:rPr>
          <w:bCs/>
          <w:color w:val="000000" w:themeColor="text1"/>
        </w:rPr>
        <w:t>ve</w:t>
      </w:r>
      <w:r w:rsidRPr="009869DA">
        <w:rPr>
          <w:bCs/>
          <w:color w:val="000000" w:themeColor="text1"/>
        </w:rPr>
        <w:t xml:space="preserve"> guided us to define higher education as master’s degree holders or higher. Based on the difference, this study fills the literature gap of research on employees with master's degrees or higher. Furthermore, this study uses text matching to filter the employees holding at least a master’s degree, as shown in Table 1.</w:t>
      </w:r>
    </w:p>
    <w:p w14:paraId="22F92D03" w14:textId="26B1F4A6" w:rsidR="009224B0" w:rsidRPr="009224B0" w:rsidRDefault="009224B0" w:rsidP="009224B0">
      <w:pPr>
        <w:pStyle w:val="BodyText"/>
        <w:spacing w:after="120"/>
        <w:ind w:firstLine="0"/>
        <w:rPr>
          <w:bCs/>
          <w:color w:val="000000" w:themeColor="text1"/>
        </w:rPr>
      </w:pPr>
      <w:r w:rsidRPr="009224B0">
        <w:rPr>
          <w:b/>
          <w:bCs/>
          <w:i/>
          <w:iCs/>
          <w:color w:val="000000" w:themeColor="text1"/>
        </w:rPr>
        <w:t xml:space="preserve">Independent Variables: </w:t>
      </w:r>
      <w:r w:rsidR="009869DA">
        <w:rPr>
          <w:b/>
          <w:bCs/>
          <w:i/>
          <w:iCs/>
          <w:color w:val="000000" w:themeColor="text1"/>
        </w:rPr>
        <w:t>Digital transformation</w:t>
      </w:r>
    </w:p>
    <w:p w14:paraId="4C409AA7" w14:textId="3024B820" w:rsidR="009224B0" w:rsidRPr="009224B0" w:rsidRDefault="009869DA" w:rsidP="009224B0">
      <w:pPr>
        <w:pStyle w:val="BodyText"/>
        <w:spacing w:after="120"/>
        <w:rPr>
          <w:bCs/>
          <w:color w:val="000000" w:themeColor="text1"/>
        </w:rPr>
      </w:pPr>
      <w:r w:rsidRPr="009869DA">
        <w:rPr>
          <w:bCs/>
          <w:color w:val="000000" w:themeColor="text1"/>
        </w:rPr>
        <w:t>Following the previous literature (Zeng et al., 2022), the study utilizes digitalization keyword frequency directly provided by the CSMAR. In this study, we further discuss digitalization in terms of artificial intelligence technology, blockchain, cloud computing, and big data technology. Li et al. (2024), this study measures the digitalization degree through the natural logarithm of digitalization frequency plus one. Integrating the previous instructions, this study generates the AI</w:t>
      </w:r>
      <w:r w:rsidR="00CF7768">
        <w:rPr>
          <w:bCs/>
          <w:color w:val="000000" w:themeColor="text1"/>
        </w:rPr>
        <w:t>, big data, blockchain, and cloud technology degrees to quantify the listed corporations' digitalization degrees</w:t>
      </w:r>
      <w:r w:rsidRPr="009869DA">
        <w:rPr>
          <w:bCs/>
          <w:color w:val="000000" w:themeColor="text1"/>
        </w:rPr>
        <w:t>.</w:t>
      </w:r>
    </w:p>
    <w:p w14:paraId="0D444A3D" w14:textId="77777777" w:rsidR="009224B0" w:rsidRPr="009224B0" w:rsidRDefault="009224B0" w:rsidP="009224B0">
      <w:pPr>
        <w:pStyle w:val="BodyText"/>
        <w:spacing w:after="120"/>
        <w:ind w:firstLine="0"/>
        <w:rPr>
          <w:bCs/>
          <w:color w:val="000000" w:themeColor="text1"/>
        </w:rPr>
      </w:pPr>
      <w:r w:rsidRPr="009224B0">
        <w:rPr>
          <w:b/>
          <w:bCs/>
          <w:i/>
          <w:iCs/>
          <w:color w:val="000000" w:themeColor="text1"/>
        </w:rPr>
        <w:t>Moderate Variables: Top Management Team (TMT) Characteristics</w:t>
      </w:r>
    </w:p>
    <w:p w14:paraId="0FE0B2AC" w14:textId="41FA05FC" w:rsidR="009224B0" w:rsidRPr="009224B0" w:rsidRDefault="00CF7768" w:rsidP="009224B0">
      <w:pPr>
        <w:pStyle w:val="BodyText"/>
        <w:spacing w:after="120"/>
        <w:rPr>
          <w:bCs/>
          <w:color w:val="000000" w:themeColor="text1"/>
        </w:rPr>
      </w:pPr>
      <w:r w:rsidRPr="00CF7768">
        <w:rPr>
          <w:bCs/>
          <w:color w:val="000000" w:themeColor="text1"/>
        </w:rPr>
        <w:t xml:space="preserve">This study contains three moderate variables: </w:t>
      </w:r>
      <w:proofErr w:type="spellStart"/>
      <w:r w:rsidRPr="00CF7768">
        <w:rPr>
          <w:bCs/>
          <w:i/>
          <w:iCs/>
          <w:color w:val="000000" w:themeColor="text1"/>
        </w:rPr>
        <w:t>DegreeM</w:t>
      </w:r>
      <w:proofErr w:type="spellEnd"/>
      <w:r w:rsidRPr="00CF7768">
        <w:rPr>
          <w:bCs/>
          <w:i/>
          <w:iCs/>
          <w:color w:val="000000" w:themeColor="text1"/>
        </w:rPr>
        <w:t xml:space="preserve">, </w:t>
      </w:r>
      <w:proofErr w:type="spellStart"/>
      <w:r w:rsidRPr="00CF7768">
        <w:rPr>
          <w:bCs/>
          <w:i/>
          <w:iCs/>
          <w:color w:val="000000" w:themeColor="text1"/>
        </w:rPr>
        <w:t>FinbackM</w:t>
      </w:r>
      <w:proofErr w:type="spellEnd"/>
      <w:r w:rsidRPr="00CF7768">
        <w:rPr>
          <w:bCs/>
          <w:color w:val="000000" w:themeColor="text1"/>
        </w:rPr>
        <w:t xml:space="preserve">, and </w:t>
      </w:r>
      <w:proofErr w:type="spellStart"/>
      <w:r w:rsidRPr="00CF7768">
        <w:rPr>
          <w:bCs/>
          <w:i/>
          <w:iCs/>
          <w:color w:val="000000" w:themeColor="text1"/>
        </w:rPr>
        <w:t>AcademicM</w:t>
      </w:r>
      <w:proofErr w:type="spellEnd"/>
      <w:r w:rsidRPr="00CF7768">
        <w:rPr>
          <w:bCs/>
          <w:i/>
          <w:iCs/>
          <w:color w:val="000000" w:themeColor="text1"/>
        </w:rPr>
        <w:t>.</w:t>
      </w:r>
      <w:r w:rsidRPr="00CF7768">
        <w:rPr>
          <w:bCs/>
          <w:color w:val="000000" w:themeColor="text1"/>
        </w:rPr>
        <w:t xml:space="preserve"> The </w:t>
      </w:r>
      <w:proofErr w:type="spellStart"/>
      <w:r w:rsidRPr="00CF7768">
        <w:rPr>
          <w:bCs/>
          <w:i/>
          <w:iCs/>
          <w:color w:val="000000" w:themeColor="text1"/>
          <w:u w:val="single"/>
        </w:rPr>
        <w:t>DegreeM</w:t>
      </w:r>
      <w:proofErr w:type="spellEnd"/>
      <w:r w:rsidRPr="00CF7768">
        <w:rPr>
          <w:bCs/>
          <w:color w:val="000000" w:themeColor="text1"/>
        </w:rPr>
        <w:t xml:space="preserve"> is quantified as the ratio of top executives holding advanced degrees, specifically master's and doctoral degrees. Moreover, based on the top executives’ resumes in the annual report and the previous study, the financial background (</w:t>
      </w:r>
      <w:proofErr w:type="spellStart"/>
      <w:r w:rsidRPr="00CF7768">
        <w:rPr>
          <w:bCs/>
          <w:i/>
          <w:iCs/>
          <w:color w:val="000000" w:themeColor="text1"/>
        </w:rPr>
        <w:t>FinbackM</w:t>
      </w:r>
      <w:proofErr w:type="spellEnd"/>
      <w:r w:rsidRPr="00CF7768">
        <w:rPr>
          <w:bCs/>
          <w:color w:val="000000" w:themeColor="text1"/>
        </w:rPr>
        <w:t>) and academic experience (</w:t>
      </w:r>
      <w:proofErr w:type="spellStart"/>
      <w:r w:rsidRPr="00CF7768">
        <w:rPr>
          <w:bCs/>
          <w:i/>
          <w:iCs/>
          <w:color w:val="000000" w:themeColor="text1"/>
        </w:rPr>
        <w:t>AcademicM</w:t>
      </w:r>
      <w:proofErr w:type="spellEnd"/>
      <w:r w:rsidRPr="00CF7768">
        <w:rPr>
          <w:bCs/>
          <w:color w:val="000000" w:themeColor="text1"/>
        </w:rPr>
        <w:t>) are captured and counted by specific keywords, shown in Table 1</w:t>
      </w:r>
      <w:r w:rsidR="009224B0" w:rsidRPr="009224B0">
        <w:rPr>
          <w:bCs/>
          <w:color w:val="000000" w:themeColor="text1"/>
        </w:rPr>
        <w:t>.</w:t>
      </w:r>
    </w:p>
    <w:p w14:paraId="565C2D06" w14:textId="77777777" w:rsidR="009224B0" w:rsidRPr="009224B0" w:rsidRDefault="009224B0" w:rsidP="009224B0">
      <w:pPr>
        <w:pStyle w:val="BodyText"/>
        <w:spacing w:after="120"/>
        <w:ind w:firstLine="0"/>
        <w:rPr>
          <w:bCs/>
          <w:color w:val="000000" w:themeColor="text1"/>
        </w:rPr>
      </w:pPr>
      <w:r w:rsidRPr="009224B0">
        <w:rPr>
          <w:b/>
          <w:bCs/>
          <w:i/>
          <w:iCs/>
          <w:color w:val="000000" w:themeColor="text1"/>
        </w:rPr>
        <w:lastRenderedPageBreak/>
        <w:t>Control Variables</w:t>
      </w:r>
    </w:p>
    <w:p w14:paraId="293810EE" w14:textId="4B428ED5" w:rsidR="009224B0" w:rsidRPr="009224B0" w:rsidRDefault="00CF7768" w:rsidP="009224B0">
      <w:pPr>
        <w:pStyle w:val="BodyText"/>
        <w:spacing w:after="120"/>
        <w:rPr>
          <w:bCs/>
          <w:color w:val="000000" w:themeColor="text1"/>
        </w:rPr>
      </w:pPr>
      <w:r w:rsidRPr="00CF7768">
        <w:rPr>
          <w:bCs/>
          <w:color w:val="000000" w:themeColor="text1"/>
        </w:rPr>
        <w:t>This study also includes a range of control variables at the firm level. Firms’ profitability is one of the essential factors for employees (</w:t>
      </w:r>
      <w:proofErr w:type="spellStart"/>
      <w:r w:rsidRPr="00CF7768">
        <w:rPr>
          <w:bCs/>
          <w:color w:val="000000" w:themeColor="text1"/>
        </w:rPr>
        <w:t>Alarussi</w:t>
      </w:r>
      <w:proofErr w:type="spellEnd"/>
      <w:r w:rsidRPr="00CF7768">
        <w:rPr>
          <w:bCs/>
          <w:color w:val="000000" w:themeColor="text1"/>
        </w:rPr>
        <w:t xml:space="preserve"> &amp; Gao, 2023; Li et al., 2022). Regarding the solvency ratio, employees are more willing to stay in a solvent and financially stable working environment. As for the firm’s age, </w:t>
      </w:r>
      <w:proofErr w:type="spellStart"/>
      <w:r w:rsidRPr="00CF7768">
        <w:rPr>
          <w:bCs/>
          <w:color w:val="000000" w:themeColor="text1"/>
        </w:rPr>
        <w:t>Børing</w:t>
      </w:r>
      <w:proofErr w:type="spellEnd"/>
      <w:r w:rsidRPr="00CF7768">
        <w:rPr>
          <w:bCs/>
          <w:color w:val="000000" w:themeColor="text1"/>
        </w:rPr>
        <w:t xml:space="preserve"> in 2020 proved that employees with higher skills tend to apply for newly established firms. Thus, this study includes the profitability measured by the return on asset (ROA), the firms’ age measured by the natural logarithm of the difference between the listed years and fiscal year, and the solvency measured by the ratio of total non-current liabilities divided by total owners’ equity.</w:t>
      </w:r>
    </w:p>
    <w:p w14:paraId="66EE3474" w14:textId="77777777" w:rsidR="009224B0" w:rsidRPr="009224B0" w:rsidRDefault="009224B0" w:rsidP="008B4180">
      <w:pPr>
        <w:pStyle w:val="BodyText"/>
        <w:spacing w:after="120" w:line="240" w:lineRule="auto"/>
        <w:ind w:firstLine="0"/>
        <w:jc w:val="center"/>
        <w:rPr>
          <w:bCs/>
          <w:color w:val="000000" w:themeColor="text1"/>
        </w:rPr>
      </w:pPr>
      <w:r w:rsidRPr="009224B0">
        <w:rPr>
          <w:bCs/>
          <w:color w:val="000000" w:themeColor="text1"/>
        </w:rPr>
        <w:t>--------------------------------------------</w:t>
      </w:r>
    </w:p>
    <w:p w14:paraId="5B5F369B" w14:textId="77777777" w:rsidR="009224B0" w:rsidRPr="009224B0" w:rsidRDefault="009224B0" w:rsidP="008B4180">
      <w:pPr>
        <w:pStyle w:val="BodyText"/>
        <w:spacing w:after="120" w:line="240" w:lineRule="auto"/>
        <w:ind w:firstLine="0"/>
        <w:jc w:val="center"/>
        <w:rPr>
          <w:bCs/>
          <w:color w:val="000000" w:themeColor="text1"/>
        </w:rPr>
      </w:pPr>
      <w:r w:rsidRPr="009224B0">
        <w:rPr>
          <w:bCs/>
          <w:color w:val="000000" w:themeColor="text1"/>
        </w:rPr>
        <w:t>Table1. Variables Definitions</w:t>
      </w:r>
    </w:p>
    <w:p w14:paraId="59C9B1BC" w14:textId="536E596B" w:rsidR="008B4180" w:rsidRPr="00CF7768" w:rsidRDefault="009224B0" w:rsidP="00CF7768">
      <w:pPr>
        <w:pStyle w:val="BodyText"/>
        <w:spacing w:after="120" w:line="240" w:lineRule="auto"/>
        <w:ind w:firstLine="0"/>
        <w:jc w:val="center"/>
        <w:rPr>
          <w:bCs/>
          <w:color w:val="000000" w:themeColor="text1"/>
        </w:rPr>
      </w:pPr>
      <w:r w:rsidRPr="009224B0">
        <w:rPr>
          <w:bCs/>
          <w:color w:val="000000" w:themeColor="text1"/>
        </w:rPr>
        <w:t>--------------------------------------------</w:t>
      </w:r>
    </w:p>
    <w:p w14:paraId="73EC90CF" w14:textId="0D7B99D8" w:rsidR="009224B0" w:rsidRPr="009224B0" w:rsidRDefault="009224B0" w:rsidP="009224B0">
      <w:pPr>
        <w:pStyle w:val="BodyText"/>
        <w:spacing w:after="120"/>
        <w:ind w:firstLine="0"/>
        <w:rPr>
          <w:bCs/>
          <w:color w:val="000000" w:themeColor="text1"/>
        </w:rPr>
      </w:pPr>
      <w:r w:rsidRPr="009224B0">
        <w:rPr>
          <w:b/>
          <w:bCs/>
          <w:color w:val="000000" w:themeColor="text1"/>
        </w:rPr>
        <w:t>Model Specification</w:t>
      </w:r>
    </w:p>
    <w:p w14:paraId="557C58EC" w14:textId="773D0959" w:rsidR="009224B0" w:rsidRPr="009224B0" w:rsidRDefault="00CF7768" w:rsidP="009224B0">
      <w:pPr>
        <w:pStyle w:val="BodyText"/>
        <w:spacing w:after="120"/>
        <w:rPr>
          <w:bCs/>
          <w:color w:val="000000" w:themeColor="text1"/>
        </w:rPr>
      </w:pPr>
      <w:r w:rsidRPr="00CF7768">
        <w:rPr>
          <w:bCs/>
          <w:color w:val="000000" w:themeColor="text1"/>
        </w:rPr>
        <w:t>This study adopts the multilinear regression model with fixed effects to explore the impact of digitalization on employees’ higher education proportion. Thus, this study proposes the following model</w:t>
      </w:r>
      <w:r w:rsidR="009224B0" w:rsidRPr="009224B0">
        <w:rPr>
          <w:bCs/>
          <w:color w:val="000000" w:themeColor="text1"/>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4"/>
        <w:gridCol w:w="452"/>
      </w:tblGrid>
      <w:tr w:rsidR="001252C9" w14:paraId="2D01F0D8" w14:textId="77777777" w:rsidTr="00AD715B">
        <w:tc>
          <w:tcPr>
            <w:tcW w:w="8904" w:type="dxa"/>
          </w:tcPr>
          <w:p w14:paraId="314D623E" w14:textId="4E25EE10" w:rsidR="001252C9" w:rsidRPr="001252C9" w:rsidRDefault="00000000" w:rsidP="00AD715B">
            <w:pPr>
              <w:jc w:val="both"/>
              <w:rPr>
                <w:iCs/>
                <w:sz w:val="20"/>
                <w:szCs w:val="20"/>
              </w:rPr>
            </w:pPr>
            <m:oMathPara>
              <m:oMath>
                <m:sSub>
                  <m:sSubPr>
                    <m:ctrlPr>
                      <w:rPr>
                        <w:rFonts w:ascii="Cambria Math" w:hAnsi="Cambria Math"/>
                        <w:i/>
                        <w:iCs/>
                        <w:sz w:val="20"/>
                        <w:szCs w:val="20"/>
                      </w:rPr>
                    </m:ctrlPr>
                  </m:sSubPr>
                  <m:e>
                    <m:r>
                      <w:rPr>
                        <w:rFonts w:ascii="Cambria Math" w:hAnsi="Cambria Math"/>
                        <w:sz w:val="20"/>
                        <w:szCs w:val="20"/>
                      </w:rPr>
                      <m:t>Degreep</m:t>
                    </m:r>
                  </m:e>
                  <m:sub>
                    <m:r>
                      <w:rPr>
                        <w:rFonts w:ascii="Cambria Math" w:hAnsi="Cambria Math"/>
                        <w:sz w:val="20"/>
                        <w:szCs w:val="20"/>
                      </w:rPr>
                      <m:t>i,t+1</m:t>
                    </m:r>
                  </m:sub>
                </m:sSub>
                <m:r>
                  <w:rPr>
                    <w:rFonts w:ascii="Cambria Math"/>
                    <w:sz w:val="20"/>
                    <w:szCs w:val="20"/>
                  </w:rPr>
                  <m:t>=</m:t>
                </m:r>
                <m:sSub>
                  <m:sSubPr>
                    <m:ctrlPr>
                      <w:rPr>
                        <w:rFonts w:ascii="Cambria Math" w:hAnsi="Cambria Math"/>
                        <w:i/>
                        <w:iCs/>
                        <w:sz w:val="20"/>
                        <w:szCs w:val="20"/>
                      </w:rPr>
                    </m:ctrlPr>
                  </m:sSubPr>
                  <m:e>
                    <m:r>
                      <w:rPr>
                        <w:rFonts w:ascii="Cambria Math" w:hAnsi="Cambria Math"/>
                        <w:sz w:val="20"/>
                        <w:szCs w:val="20"/>
                      </w:rPr>
                      <m:t>β</m:t>
                    </m:r>
                  </m:e>
                  <m:sub>
                    <m:r>
                      <w:rPr>
                        <w:rFonts w:ascii="Cambria Math" w:hAnsi="Cambria Math"/>
                        <w:sz w:val="20"/>
                        <w:szCs w:val="20"/>
                      </w:rPr>
                      <m:t>0</m:t>
                    </m:r>
                  </m:sub>
                </m:sSub>
                <m:sSub>
                  <m:sSubPr>
                    <m:ctrlPr>
                      <w:rPr>
                        <w:rFonts w:ascii="Cambria Math" w:hAnsi="Cambria Math"/>
                        <w:i/>
                        <w:iCs/>
                        <w:sz w:val="20"/>
                        <w:szCs w:val="20"/>
                      </w:rPr>
                    </m:ctrlPr>
                  </m:sSubPr>
                  <m:e>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Total</m:t>
                    </m:r>
                  </m:e>
                  <m:sub>
                    <m:r>
                      <w:rPr>
                        <w:rFonts w:ascii="Cambria Math" w:hAnsi="Cambria Math"/>
                        <w:sz w:val="20"/>
                        <w:szCs w:val="20"/>
                      </w:rPr>
                      <m:t>i,t</m:t>
                    </m:r>
                  </m:sub>
                </m:sSub>
                <m:r>
                  <w:rPr>
                    <w:rFonts w:ascii="Cambria Math" w:hAnsi="Cambria Math"/>
                    <w:sz w:val="20"/>
                    <w:szCs w:val="20"/>
                  </w:rPr>
                  <m:t>+</m:t>
                </m:r>
                <m:nary>
                  <m:naryPr>
                    <m:chr m:val="∑"/>
                    <m:limLoc m:val="subSup"/>
                    <m:ctrlPr>
                      <w:rPr>
                        <w:rFonts w:ascii="Cambria Math" w:hAnsi="Cambria Math"/>
                        <w:i/>
                        <w:iCs/>
                        <w:sz w:val="20"/>
                        <w:szCs w:val="20"/>
                      </w:rPr>
                    </m:ctrlPr>
                  </m:naryPr>
                  <m:sub>
                    <m:r>
                      <w:rPr>
                        <w:rFonts w:ascii="Cambria Math" w:hAnsi="Cambria Math"/>
                        <w:sz w:val="20"/>
                        <w:szCs w:val="20"/>
                      </w:rPr>
                      <m:t>k=2</m:t>
                    </m:r>
                  </m:sub>
                  <m:sup>
                    <m:r>
                      <w:rPr>
                        <w:rFonts w:ascii="Cambria Math" w:hAnsi="Cambria Math"/>
                        <w:sz w:val="20"/>
                        <w:szCs w:val="20"/>
                      </w:rPr>
                      <m:t>6</m:t>
                    </m:r>
                  </m:sup>
                  <m:e>
                    <m:sSub>
                      <m:sSubPr>
                        <m:ctrlPr>
                          <w:rPr>
                            <w:rFonts w:ascii="Cambria Math" w:hAnsi="Cambria Math"/>
                            <w:i/>
                            <w:iCs/>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iCs/>
                            <w:sz w:val="20"/>
                            <w:szCs w:val="20"/>
                          </w:rPr>
                        </m:ctrlPr>
                      </m:sSubPr>
                      <m:e>
                        <m:r>
                          <w:rPr>
                            <w:rFonts w:ascii="Cambria Math" w:hAnsi="Cambria Math"/>
                            <w:sz w:val="20"/>
                            <w:szCs w:val="20"/>
                          </w:rPr>
                          <m:t>Control</m:t>
                        </m:r>
                      </m:e>
                      <m:sub>
                        <m:r>
                          <w:rPr>
                            <w:rFonts w:ascii="Cambria Math" w:hAnsi="Cambria Math"/>
                            <w:sz w:val="20"/>
                            <w:szCs w:val="20"/>
                          </w:rPr>
                          <m:t>k</m:t>
                        </m:r>
                      </m:sub>
                    </m:sSub>
                  </m:e>
                </m:nary>
                <w:bookmarkStart w:id="1" w:name="OLE_LINK1"/>
                <m:r>
                  <w:rPr>
                    <w:rFonts w:ascii="Cambria Math" w:hAnsi="Cambria Math"/>
                    <w:sz w:val="20"/>
                    <w:szCs w:val="20"/>
                  </w:rPr>
                  <m:t>+Year+Industry+Year ×Industry+</m:t>
                </m:r>
                <m:sSub>
                  <m:sSubPr>
                    <m:ctrlPr>
                      <w:rPr>
                        <w:rFonts w:ascii="Cambria Math" w:hAnsi="Cambria Math"/>
                        <w:i/>
                        <w:iCs/>
                        <w:sz w:val="20"/>
                        <w:szCs w:val="20"/>
                      </w:rPr>
                    </m:ctrlPr>
                  </m:sSubPr>
                  <m:e>
                    <m:r>
                      <w:rPr>
                        <w:rFonts w:ascii="Cambria Math" w:hAnsi="Cambria Math"/>
                        <w:sz w:val="20"/>
                        <w:szCs w:val="20"/>
                      </w:rPr>
                      <m:t>ε</m:t>
                    </m:r>
                  </m:e>
                  <m:sub>
                    <m:r>
                      <w:rPr>
                        <w:rFonts w:ascii="Cambria Math" w:hAnsi="Cambria Math"/>
                        <w:sz w:val="20"/>
                        <w:szCs w:val="20"/>
                      </w:rPr>
                      <m:t>i,t</m:t>
                    </m:r>
                  </m:sub>
                </m:sSub>
              </m:oMath>
            </m:oMathPara>
            <w:bookmarkEnd w:id="1"/>
          </w:p>
        </w:tc>
        <w:tc>
          <w:tcPr>
            <w:tcW w:w="452" w:type="dxa"/>
          </w:tcPr>
          <w:p w14:paraId="00BEA664" w14:textId="77777777" w:rsidR="001252C9" w:rsidRDefault="001252C9" w:rsidP="00AD715B">
            <w:pPr>
              <w:jc w:val="both"/>
              <w:rPr>
                <w:sz w:val="20"/>
                <w:szCs w:val="20"/>
              </w:rPr>
            </w:pPr>
            <w:r>
              <w:rPr>
                <w:sz w:val="20"/>
                <w:szCs w:val="20"/>
              </w:rPr>
              <w:t>(1)</w:t>
            </w:r>
          </w:p>
        </w:tc>
      </w:tr>
    </w:tbl>
    <w:p w14:paraId="7D06EB3E" w14:textId="77777777" w:rsidR="008B4180" w:rsidRDefault="008B4180" w:rsidP="001252C9">
      <w:pPr>
        <w:pStyle w:val="BodyText"/>
        <w:spacing w:after="120"/>
        <w:ind w:firstLine="0"/>
        <w:rPr>
          <w:bCs/>
          <w:color w:val="000000" w:themeColor="text1"/>
        </w:rPr>
      </w:pPr>
    </w:p>
    <w:p w14:paraId="311A0322" w14:textId="7C1C3D44" w:rsidR="009224B0" w:rsidRPr="009224B0" w:rsidRDefault="009224B0" w:rsidP="009224B0">
      <w:pPr>
        <w:pStyle w:val="BodyText"/>
        <w:spacing w:after="120"/>
        <w:rPr>
          <w:bCs/>
          <w:color w:val="000000" w:themeColor="text1"/>
        </w:rPr>
      </w:pPr>
      <w:r w:rsidRPr="009224B0">
        <w:rPr>
          <w:bCs/>
          <w:color w:val="000000" w:themeColor="text1"/>
        </w:rPr>
        <w:t xml:space="preserve">Where </w:t>
      </w:r>
      <w:r w:rsidRPr="009224B0">
        <w:rPr>
          <w:bCs/>
          <w:i/>
          <w:iCs/>
          <w:color w:val="000000" w:themeColor="text1"/>
        </w:rPr>
        <w:t>i</w:t>
      </w:r>
      <w:r w:rsidRPr="009224B0">
        <w:rPr>
          <w:bCs/>
          <w:color w:val="000000" w:themeColor="text1"/>
        </w:rPr>
        <w:t xml:space="preserve"> represents the enterprise, </w:t>
      </w:r>
      <w:r w:rsidRPr="009224B0">
        <w:rPr>
          <w:bCs/>
          <w:i/>
          <w:iCs/>
          <w:color w:val="000000" w:themeColor="text1"/>
        </w:rPr>
        <w:t>t</w:t>
      </w:r>
      <w:r w:rsidRPr="009224B0">
        <w:rPr>
          <w:bCs/>
          <w:color w:val="000000" w:themeColor="text1"/>
        </w:rPr>
        <w:t xml:space="preserve"> indicates the time periods, </w:t>
      </w:r>
      <w:proofErr w:type="spellStart"/>
      <w:r w:rsidRPr="009224B0">
        <w:rPr>
          <w:bCs/>
          <w:color w:val="000000" w:themeColor="text1"/>
        </w:rPr>
        <w:t>ε</w:t>
      </w:r>
      <w:proofErr w:type="gramStart"/>
      <w:r w:rsidRPr="009224B0">
        <w:rPr>
          <w:bCs/>
          <w:color w:val="000000" w:themeColor="text1"/>
          <w:vertAlign w:val="subscript"/>
        </w:rPr>
        <w:t>i,t</w:t>
      </w:r>
      <w:proofErr w:type="spellEnd"/>
      <w:proofErr w:type="gramEnd"/>
      <w:r w:rsidRPr="009224B0">
        <w:rPr>
          <w:bCs/>
          <w:color w:val="000000" w:themeColor="text1"/>
          <w:vertAlign w:val="subscript"/>
        </w:rPr>
        <w:t xml:space="preserve"> </w:t>
      </w:r>
      <w:r w:rsidRPr="009224B0">
        <w:rPr>
          <w:bCs/>
          <w:color w:val="000000" w:themeColor="text1"/>
        </w:rPr>
        <w:t xml:space="preserve">is the error term, </w:t>
      </w:r>
      <w:r w:rsidRPr="009224B0">
        <w:rPr>
          <w:bCs/>
          <w:i/>
          <w:iCs/>
          <w:color w:val="000000" w:themeColor="text1"/>
        </w:rPr>
        <w:t>Year</w:t>
      </w:r>
      <w:r w:rsidRPr="009224B0">
        <w:rPr>
          <w:bCs/>
          <w:color w:val="000000" w:themeColor="text1"/>
        </w:rPr>
        <w:t xml:space="preserve"> represents the year fixed effect, and Industry represents the industry fixed effect. </w:t>
      </w:r>
      <w:r w:rsidR="00657AE9" w:rsidRPr="009224B0">
        <w:rPr>
          <w:bCs/>
          <w:color w:val="000000" w:themeColor="text1"/>
        </w:rPr>
        <w:t>To</w:t>
      </w:r>
      <w:r w:rsidRPr="009224B0">
        <w:rPr>
          <w:bCs/>
          <w:color w:val="000000" w:themeColor="text1"/>
        </w:rPr>
        <w:t xml:space="preserve"> control the omitted variable efficiently, this study utilizes the fixed effect in three dimensions, including the intersection between </w:t>
      </w:r>
      <w:r w:rsidRPr="009224B0">
        <w:rPr>
          <w:bCs/>
          <w:i/>
          <w:iCs/>
          <w:color w:val="000000" w:themeColor="text1"/>
        </w:rPr>
        <w:t>Year</w:t>
      </w:r>
      <w:r w:rsidRPr="009224B0">
        <w:rPr>
          <w:bCs/>
          <w:color w:val="000000" w:themeColor="text1"/>
        </w:rPr>
        <w:t xml:space="preserve"> and </w:t>
      </w:r>
      <w:r w:rsidRPr="009224B0">
        <w:rPr>
          <w:bCs/>
          <w:i/>
          <w:iCs/>
          <w:color w:val="000000" w:themeColor="text1"/>
        </w:rPr>
        <w:t>Industry</w:t>
      </w:r>
      <w:r w:rsidRPr="009224B0">
        <w:rPr>
          <w:bCs/>
          <w:color w:val="000000" w:themeColor="text1"/>
        </w:rPr>
        <w:t xml:space="preserve">. Furthermore, this study tests the non-linear relationship </w:t>
      </w:r>
      <w:r w:rsidRPr="009224B0">
        <w:rPr>
          <w:bCs/>
          <w:color w:val="000000" w:themeColor="text1"/>
        </w:rPr>
        <w:lastRenderedPageBreak/>
        <w:t xml:space="preserve">and considers the quadric term in </w:t>
      </w:r>
      <w:r w:rsidR="00956960">
        <w:rPr>
          <w:bCs/>
          <w:color w:val="000000" w:themeColor="text1"/>
        </w:rPr>
        <w:t>representing</w:t>
      </w:r>
      <w:r w:rsidRPr="009224B0">
        <w:rPr>
          <w:bCs/>
          <w:color w:val="000000" w:themeColor="text1"/>
        </w:rPr>
        <w:t xml:space="preserve"> </w:t>
      </w:r>
      <w:r w:rsidR="00956960">
        <w:rPr>
          <w:bCs/>
          <w:color w:val="000000" w:themeColor="text1"/>
        </w:rPr>
        <w:t xml:space="preserve">the </w:t>
      </w:r>
      <w:r w:rsidR="009869DA">
        <w:rPr>
          <w:bCs/>
          <w:color w:val="000000" w:themeColor="text1"/>
        </w:rPr>
        <w:t>digital transformation</w:t>
      </w:r>
      <w:r w:rsidRPr="009224B0">
        <w:rPr>
          <w:bCs/>
          <w:color w:val="000000" w:themeColor="text1"/>
        </w:rPr>
        <w:t xml:space="preserve"> degree (</w:t>
      </w:r>
      <w:r w:rsidRPr="009224B0">
        <w:rPr>
          <w:bCs/>
          <w:i/>
          <w:iCs/>
          <w:color w:val="000000" w:themeColor="text1"/>
        </w:rPr>
        <w:t>Total</w:t>
      </w:r>
      <w:r w:rsidRPr="009224B0">
        <w:rPr>
          <w:bCs/>
          <w:color w:val="000000" w:themeColor="text1"/>
        </w:rPr>
        <w:t xml:space="preserve">) in model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4"/>
        <w:gridCol w:w="452"/>
      </w:tblGrid>
      <w:tr w:rsidR="001252C9" w14:paraId="4F289816" w14:textId="77777777" w:rsidTr="00AD715B">
        <w:tc>
          <w:tcPr>
            <w:tcW w:w="8904" w:type="dxa"/>
          </w:tcPr>
          <w:p w14:paraId="60350424" w14:textId="5EDA5E30" w:rsidR="001252C9" w:rsidRPr="001252C9" w:rsidRDefault="00000000" w:rsidP="001252C9">
            <w:pPr>
              <w:jc w:val="center"/>
              <w:rPr>
                <w:iCs/>
                <w:sz w:val="21"/>
                <w:szCs w:val="21"/>
              </w:rPr>
            </w:pPr>
            <m:oMathPara>
              <m:oMath>
                <m:sSub>
                  <m:sSubPr>
                    <m:ctrlPr>
                      <w:rPr>
                        <w:rFonts w:ascii="Cambria Math" w:hAnsi="Cambria Math"/>
                        <w:i/>
                        <w:iCs/>
                        <w:sz w:val="21"/>
                        <w:szCs w:val="21"/>
                      </w:rPr>
                    </m:ctrlPr>
                  </m:sSubPr>
                  <m:e>
                    <m:r>
                      <w:rPr>
                        <w:rFonts w:ascii="Cambria Math" w:hAnsi="Cambria Math"/>
                        <w:sz w:val="21"/>
                        <w:szCs w:val="21"/>
                      </w:rPr>
                      <m:t>Degreep</m:t>
                    </m:r>
                  </m:e>
                  <m:sub>
                    <m:r>
                      <w:rPr>
                        <w:rFonts w:ascii="Cambria Math" w:hAnsi="Cambria Math"/>
                        <w:sz w:val="21"/>
                        <w:szCs w:val="21"/>
                      </w:rPr>
                      <m:t>i,t+1</m:t>
                    </m:r>
                  </m:sub>
                </m:sSub>
                <m:r>
                  <w:rPr>
                    <w:rFonts w:ascii="Cambria Math"/>
                    <w:sz w:val="21"/>
                    <w:szCs w:val="21"/>
                  </w:rPr>
                  <m:t>=</m:t>
                </m:r>
                <m:sSub>
                  <m:sSubPr>
                    <m:ctrlPr>
                      <w:rPr>
                        <w:rFonts w:ascii="Cambria Math" w:hAnsi="Cambria Math"/>
                        <w:i/>
                        <w:iCs/>
                        <w:sz w:val="21"/>
                        <w:szCs w:val="21"/>
                      </w:rPr>
                    </m:ctrlPr>
                  </m:sSubPr>
                  <m:e>
                    <m:r>
                      <w:rPr>
                        <w:rFonts w:ascii="Cambria Math" w:hAnsi="Cambria Math"/>
                        <w:sz w:val="21"/>
                        <w:szCs w:val="21"/>
                      </w:rPr>
                      <m:t>β</m:t>
                    </m:r>
                  </m:e>
                  <m:sub>
                    <m:r>
                      <w:rPr>
                        <w:rFonts w:ascii="Cambria Math" w:hAnsi="Cambria Math"/>
                        <w:sz w:val="21"/>
                        <w:szCs w:val="21"/>
                      </w:rPr>
                      <m:t>0</m:t>
                    </m:r>
                  </m:sub>
                </m:sSub>
                <m:sSub>
                  <m:sSubPr>
                    <m:ctrlPr>
                      <w:rPr>
                        <w:rFonts w:ascii="Cambria Math" w:hAnsi="Cambria Math"/>
                        <w:i/>
                        <w:iCs/>
                        <w:sz w:val="21"/>
                        <w:szCs w:val="21"/>
                      </w:rPr>
                    </m:ctrlPr>
                  </m:sSubPr>
                  <m:e>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Total</m:t>
                    </m:r>
                  </m:e>
                  <m:sub>
                    <m:r>
                      <w:rPr>
                        <w:rFonts w:ascii="Cambria Math" w:hAnsi="Cambria Math"/>
                        <w:sz w:val="21"/>
                        <w:szCs w:val="21"/>
                      </w:rPr>
                      <m:t>i,t</m:t>
                    </m:r>
                  </m:sub>
                </m:sSub>
                <m:sSub>
                  <m:sSubPr>
                    <m:ctrlPr>
                      <w:rPr>
                        <w:rFonts w:ascii="Cambria Math" w:hAnsi="Cambria Math"/>
                        <w:i/>
                        <w:iCs/>
                        <w:sz w:val="21"/>
                        <w:szCs w:val="21"/>
                      </w:rPr>
                    </m:ctrlPr>
                  </m:sSubPr>
                  <m:e>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β</m:t>
                        </m:r>
                      </m:e>
                      <m:sub>
                        <m:r>
                          <w:rPr>
                            <w:rFonts w:ascii="Cambria Math" w:hAnsi="Cambria Math"/>
                            <w:sz w:val="21"/>
                            <w:szCs w:val="21"/>
                          </w:rPr>
                          <m:t>2</m:t>
                        </m:r>
                      </m:sub>
                    </m:sSub>
                    <m:r>
                      <w:rPr>
                        <w:rFonts w:ascii="Cambria Math" w:hAnsi="Cambria Math"/>
                        <w:sz w:val="21"/>
                        <w:szCs w:val="21"/>
                      </w:rPr>
                      <m:t>Total</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iCs/>
                        <w:sz w:val="20"/>
                        <w:szCs w:val="20"/>
                      </w:rPr>
                    </m:ctrlPr>
                  </m:sSubPr>
                  <m:e>
                    <m:r>
                      <w:rPr>
                        <w:rFonts w:ascii="Cambria Math" w:hAnsi="Cambria Math"/>
                        <w:sz w:val="20"/>
                        <w:szCs w:val="20"/>
                      </w:rPr>
                      <m:t>Total</m:t>
                    </m:r>
                  </m:e>
                  <m:sub>
                    <m:r>
                      <w:rPr>
                        <w:rFonts w:ascii="Cambria Math" w:hAnsi="Cambria Math"/>
                        <w:sz w:val="20"/>
                        <w:szCs w:val="20"/>
                      </w:rPr>
                      <m:t>i,t</m:t>
                    </m:r>
                  </m:sub>
                </m:sSub>
                <m:r>
                  <w:rPr>
                    <w:rFonts w:ascii="Cambria Math" w:hAnsi="Cambria Math"/>
                    <w:sz w:val="21"/>
                    <w:szCs w:val="21"/>
                  </w:rPr>
                  <m:t>+</m:t>
                </m:r>
                <m:nary>
                  <m:naryPr>
                    <m:chr m:val="∑"/>
                    <m:limLoc m:val="subSup"/>
                    <m:ctrlPr>
                      <w:rPr>
                        <w:rFonts w:ascii="Cambria Math" w:hAnsi="Cambria Math"/>
                        <w:i/>
                        <w:iCs/>
                        <w:sz w:val="20"/>
                        <w:szCs w:val="20"/>
                      </w:rPr>
                    </m:ctrlPr>
                  </m:naryPr>
                  <m:sub>
                    <m:r>
                      <w:rPr>
                        <w:rFonts w:ascii="Cambria Math" w:hAnsi="Cambria Math"/>
                        <w:sz w:val="20"/>
                        <w:szCs w:val="20"/>
                      </w:rPr>
                      <m:t>k=3</m:t>
                    </m:r>
                  </m:sub>
                  <m:sup>
                    <m:r>
                      <w:rPr>
                        <w:rFonts w:ascii="Cambria Math" w:hAnsi="Cambria Math"/>
                        <w:sz w:val="20"/>
                        <w:szCs w:val="20"/>
                      </w:rPr>
                      <m:t>7</m:t>
                    </m:r>
                  </m:sup>
                  <m:e>
                    <m:sSub>
                      <m:sSubPr>
                        <m:ctrlPr>
                          <w:rPr>
                            <w:rFonts w:ascii="Cambria Math" w:hAnsi="Cambria Math"/>
                            <w:i/>
                            <w:iCs/>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iCs/>
                            <w:sz w:val="20"/>
                            <w:szCs w:val="20"/>
                          </w:rPr>
                        </m:ctrlPr>
                      </m:sSubPr>
                      <m:e>
                        <m:r>
                          <w:rPr>
                            <w:rFonts w:ascii="Cambria Math" w:hAnsi="Cambria Math"/>
                            <w:sz w:val="20"/>
                            <w:szCs w:val="20"/>
                          </w:rPr>
                          <m:t>Control</m:t>
                        </m:r>
                      </m:e>
                      <m:sub>
                        <m:r>
                          <w:rPr>
                            <w:rFonts w:ascii="Cambria Math" w:hAnsi="Cambria Math"/>
                            <w:sz w:val="20"/>
                            <w:szCs w:val="20"/>
                          </w:rPr>
                          <m:t>k</m:t>
                        </m:r>
                      </m:sub>
                    </m:sSub>
                    <m:r>
                      <w:rPr>
                        <w:rFonts w:ascii="Cambria Math" w:hAnsi="Cambria Math"/>
                        <w:sz w:val="20"/>
                        <w:szCs w:val="20"/>
                      </w:rPr>
                      <m:t>+</m:t>
                    </m:r>
                  </m:e>
                </m:nary>
                <m:r>
                  <w:rPr>
                    <w:rFonts w:ascii="Cambria Math" w:hAnsi="Cambria Math"/>
                    <w:sz w:val="20"/>
                    <w:szCs w:val="20"/>
                  </w:rPr>
                  <m:t>Year+Industry+Year ×Industry+</m:t>
                </m:r>
                <m:sSub>
                  <m:sSubPr>
                    <m:ctrlPr>
                      <w:rPr>
                        <w:rFonts w:ascii="Cambria Math" w:hAnsi="Cambria Math"/>
                        <w:i/>
                        <w:iCs/>
                        <w:sz w:val="20"/>
                        <w:szCs w:val="20"/>
                      </w:rPr>
                    </m:ctrlPr>
                  </m:sSubPr>
                  <m:e>
                    <m:r>
                      <w:rPr>
                        <w:rFonts w:ascii="Cambria Math" w:hAnsi="Cambria Math"/>
                        <w:sz w:val="20"/>
                        <w:szCs w:val="20"/>
                      </w:rPr>
                      <m:t>ε</m:t>
                    </m:r>
                  </m:e>
                  <m:sub>
                    <m:r>
                      <w:rPr>
                        <w:rFonts w:ascii="Cambria Math" w:hAnsi="Cambria Math"/>
                        <w:sz w:val="20"/>
                        <w:szCs w:val="20"/>
                      </w:rPr>
                      <m:t>i,t</m:t>
                    </m:r>
                  </m:sub>
                </m:sSub>
              </m:oMath>
            </m:oMathPara>
          </w:p>
        </w:tc>
        <w:tc>
          <w:tcPr>
            <w:tcW w:w="452" w:type="dxa"/>
          </w:tcPr>
          <w:p w14:paraId="6CECAFFE" w14:textId="77777777" w:rsidR="001252C9" w:rsidRDefault="001252C9" w:rsidP="00AD715B">
            <w:pPr>
              <w:jc w:val="both"/>
              <w:rPr>
                <w:sz w:val="20"/>
                <w:szCs w:val="20"/>
              </w:rPr>
            </w:pPr>
            <w:r>
              <w:rPr>
                <w:sz w:val="20"/>
                <w:szCs w:val="20"/>
              </w:rPr>
              <w:t>(2)</w:t>
            </w:r>
          </w:p>
        </w:tc>
      </w:tr>
    </w:tbl>
    <w:p w14:paraId="64B4B71B" w14:textId="77777777" w:rsidR="008B4180" w:rsidRDefault="008B4180" w:rsidP="009224B0">
      <w:pPr>
        <w:pStyle w:val="BodyText"/>
        <w:spacing w:after="120"/>
        <w:rPr>
          <w:bCs/>
          <w:color w:val="000000" w:themeColor="text1"/>
        </w:rPr>
      </w:pPr>
    </w:p>
    <w:p w14:paraId="3C2892B3" w14:textId="112C1F2D" w:rsidR="009224B0" w:rsidRPr="009224B0" w:rsidRDefault="009224B0" w:rsidP="009224B0">
      <w:pPr>
        <w:pStyle w:val="BodyText"/>
        <w:spacing w:after="120"/>
        <w:rPr>
          <w:bCs/>
          <w:color w:val="000000" w:themeColor="text1"/>
        </w:rPr>
      </w:pPr>
      <w:r w:rsidRPr="009224B0">
        <w:rPr>
          <w:bCs/>
          <w:color w:val="000000" w:themeColor="text1"/>
        </w:rPr>
        <w:t>To test the moderate effect of the TMT characteristics, including the proportion of executives with Academic experience (</w:t>
      </w:r>
      <w:proofErr w:type="spellStart"/>
      <w:r w:rsidRPr="009224B0">
        <w:rPr>
          <w:bCs/>
          <w:i/>
          <w:iCs/>
          <w:color w:val="000000" w:themeColor="text1"/>
        </w:rPr>
        <w:t>AcademicM</w:t>
      </w:r>
      <w:proofErr w:type="spellEnd"/>
      <w:r w:rsidRPr="009224B0">
        <w:rPr>
          <w:bCs/>
          <w:color w:val="000000" w:themeColor="text1"/>
        </w:rPr>
        <w:t>) and financial background experience (</w:t>
      </w:r>
      <w:proofErr w:type="spellStart"/>
      <w:r w:rsidRPr="009224B0">
        <w:rPr>
          <w:bCs/>
          <w:i/>
          <w:iCs/>
          <w:color w:val="000000" w:themeColor="text1"/>
        </w:rPr>
        <w:t>FinBackM</w:t>
      </w:r>
      <w:proofErr w:type="spellEnd"/>
      <w:r w:rsidRPr="009224B0">
        <w:rPr>
          <w:bCs/>
          <w:color w:val="000000" w:themeColor="text1"/>
        </w:rPr>
        <w:t xml:space="preserve">), this study builds up the following model (3-4):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4"/>
        <w:gridCol w:w="452"/>
      </w:tblGrid>
      <w:tr w:rsidR="001252C9" w14:paraId="5AD5FB4D" w14:textId="77777777" w:rsidTr="00AD715B">
        <w:tc>
          <w:tcPr>
            <w:tcW w:w="8904" w:type="dxa"/>
          </w:tcPr>
          <w:p w14:paraId="66FC8F00" w14:textId="5DDDEE1D" w:rsidR="001252C9" w:rsidRPr="001252C9" w:rsidRDefault="00000000" w:rsidP="001252C9">
            <w:pPr>
              <w:jc w:val="center"/>
              <w:rPr>
                <w:iCs/>
                <w:sz w:val="21"/>
                <w:szCs w:val="21"/>
              </w:rPr>
            </w:pPr>
            <m:oMathPara>
              <m:oMath>
                <m:sSub>
                  <m:sSubPr>
                    <m:ctrlPr>
                      <w:rPr>
                        <w:rFonts w:ascii="Cambria Math" w:hAnsi="Cambria Math"/>
                        <w:i/>
                        <w:iCs/>
                        <w:sz w:val="21"/>
                        <w:szCs w:val="21"/>
                      </w:rPr>
                    </m:ctrlPr>
                  </m:sSubPr>
                  <m:e>
                    <m:r>
                      <w:rPr>
                        <w:rFonts w:ascii="Cambria Math" w:hAnsi="Cambria Math"/>
                        <w:sz w:val="21"/>
                        <w:szCs w:val="21"/>
                      </w:rPr>
                      <m:t>Degreep</m:t>
                    </m:r>
                  </m:e>
                  <m:sub>
                    <m:r>
                      <w:rPr>
                        <w:rFonts w:ascii="Cambria Math" w:hAnsi="Cambria Math"/>
                        <w:sz w:val="21"/>
                        <w:szCs w:val="21"/>
                      </w:rPr>
                      <m:t>i,t+1</m:t>
                    </m:r>
                  </m:sub>
                </m:sSub>
                <m:r>
                  <w:rPr>
                    <w:rFonts w:ascii="Cambria Math"/>
                    <w:sz w:val="21"/>
                    <w:szCs w:val="21"/>
                  </w:rPr>
                  <m:t>=</m:t>
                </m:r>
                <m:sSub>
                  <m:sSubPr>
                    <m:ctrlPr>
                      <w:rPr>
                        <w:rFonts w:ascii="Cambria Math" w:hAnsi="Cambria Math"/>
                        <w:i/>
                        <w:iCs/>
                        <w:sz w:val="21"/>
                        <w:szCs w:val="21"/>
                      </w:rPr>
                    </m:ctrlPr>
                  </m:sSubPr>
                  <m:e>
                    <m:r>
                      <w:rPr>
                        <w:rFonts w:ascii="Cambria Math" w:hAnsi="Cambria Math"/>
                        <w:sz w:val="21"/>
                        <w:szCs w:val="21"/>
                      </w:rPr>
                      <m:t>β</m:t>
                    </m:r>
                  </m:e>
                  <m:sub>
                    <m:r>
                      <w:rPr>
                        <w:rFonts w:ascii="Cambria Math" w:hAnsi="Cambria Math"/>
                        <w:sz w:val="21"/>
                        <w:szCs w:val="21"/>
                      </w:rPr>
                      <m:t>0</m:t>
                    </m:r>
                  </m:sub>
                </m:sSub>
                <m:sSub>
                  <m:sSubPr>
                    <m:ctrlPr>
                      <w:rPr>
                        <w:rFonts w:ascii="Cambria Math" w:hAnsi="Cambria Math"/>
                        <w:i/>
                        <w:iCs/>
                        <w:sz w:val="21"/>
                        <w:szCs w:val="21"/>
                      </w:rPr>
                    </m:ctrlPr>
                  </m:sSubPr>
                  <m:e>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Total</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β</m:t>
                    </m:r>
                  </m:e>
                  <m:sub>
                    <m:r>
                      <w:rPr>
                        <w:rFonts w:ascii="Cambria Math" w:hAnsi="Cambria Math"/>
                        <w:sz w:val="21"/>
                        <w:szCs w:val="21"/>
                      </w:rPr>
                      <m:t>2</m:t>
                    </m:r>
                  </m:sub>
                </m:sSub>
                <m:sSub>
                  <m:sSubPr>
                    <m:ctrlPr>
                      <w:rPr>
                        <w:rFonts w:ascii="Cambria Math" w:hAnsi="Cambria Math"/>
                        <w:i/>
                        <w:iCs/>
                        <w:sz w:val="21"/>
                        <w:szCs w:val="21"/>
                      </w:rPr>
                    </m:ctrlPr>
                  </m:sSubPr>
                  <m:e>
                    <m:r>
                      <w:rPr>
                        <w:rFonts w:ascii="Cambria Math" w:hAnsi="Cambria Math"/>
                        <w:sz w:val="20"/>
                        <w:szCs w:val="20"/>
                      </w:rPr>
                      <m:t>AcademicM</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iCs/>
                        <w:sz w:val="20"/>
                        <w:szCs w:val="20"/>
                      </w:rPr>
                    </m:ctrlPr>
                  </m:sSubPr>
                  <m:e>
                    <m:r>
                      <w:rPr>
                        <w:rFonts w:ascii="Cambria Math" w:hAnsi="Cambria Math"/>
                        <w:sz w:val="20"/>
                        <w:szCs w:val="20"/>
                      </w:rPr>
                      <m:t>Total</m:t>
                    </m:r>
                  </m:e>
                  <m:sub>
                    <m:r>
                      <w:rPr>
                        <w:rFonts w:ascii="Cambria Math" w:hAnsi="Cambria Math"/>
                        <w:sz w:val="20"/>
                        <w:szCs w:val="20"/>
                      </w:rPr>
                      <m:t>i,t</m:t>
                    </m:r>
                  </m:sub>
                </m:sSub>
                <m:r>
                  <w:rPr>
                    <w:rFonts w:ascii="Cambria Math" w:hAnsi="Cambria Math"/>
                    <w:sz w:val="21"/>
                    <w:szCs w:val="21"/>
                  </w:rPr>
                  <m:t>+</m:t>
                </m:r>
                <m:nary>
                  <m:naryPr>
                    <m:chr m:val="∑"/>
                    <m:limLoc m:val="subSup"/>
                    <m:ctrlPr>
                      <w:rPr>
                        <w:rFonts w:ascii="Cambria Math" w:hAnsi="Cambria Math"/>
                        <w:i/>
                        <w:iCs/>
                        <w:sz w:val="20"/>
                        <w:szCs w:val="20"/>
                      </w:rPr>
                    </m:ctrlPr>
                  </m:naryPr>
                  <m:sub>
                    <m:r>
                      <w:rPr>
                        <w:rFonts w:ascii="Cambria Math" w:hAnsi="Cambria Math"/>
                        <w:sz w:val="20"/>
                        <w:szCs w:val="20"/>
                      </w:rPr>
                      <m:t>k=3</m:t>
                    </m:r>
                  </m:sub>
                  <m:sup>
                    <m:r>
                      <w:rPr>
                        <w:rFonts w:ascii="Cambria Math" w:hAnsi="Cambria Math"/>
                        <w:sz w:val="20"/>
                        <w:szCs w:val="20"/>
                      </w:rPr>
                      <m:t>7</m:t>
                    </m:r>
                  </m:sup>
                  <m:e>
                    <m:sSub>
                      <m:sSubPr>
                        <m:ctrlPr>
                          <w:rPr>
                            <w:rFonts w:ascii="Cambria Math" w:hAnsi="Cambria Math"/>
                            <w:i/>
                            <w:iCs/>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iCs/>
                            <w:sz w:val="20"/>
                            <w:szCs w:val="20"/>
                          </w:rPr>
                        </m:ctrlPr>
                      </m:sSubPr>
                      <m:e>
                        <m:r>
                          <w:rPr>
                            <w:rFonts w:ascii="Cambria Math" w:hAnsi="Cambria Math"/>
                            <w:sz w:val="20"/>
                            <w:szCs w:val="20"/>
                          </w:rPr>
                          <m:t>Control</m:t>
                        </m:r>
                      </m:e>
                      <m:sub>
                        <m:r>
                          <w:rPr>
                            <w:rFonts w:ascii="Cambria Math" w:hAnsi="Cambria Math"/>
                            <w:sz w:val="20"/>
                            <w:szCs w:val="20"/>
                          </w:rPr>
                          <m:t>k</m:t>
                        </m:r>
                      </m:sub>
                    </m:sSub>
                    <m:r>
                      <w:rPr>
                        <w:rFonts w:ascii="Cambria Math" w:hAnsi="Cambria Math"/>
                        <w:sz w:val="20"/>
                        <w:szCs w:val="20"/>
                      </w:rPr>
                      <m:t>+</m:t>
                    </m:r>
                  </m:e>
                </m:nary>
                <m:r>
                  <w:rPr>
                    <w:rFonts w:ascii="Cambria Math" w:hAnsi="Cambria Math"/>
                    <w:sz w:val="20"/>
                    <w:szCs w:val="20"/>
                  </w:rPr>
                  <m:t>Year+Industry+Year ×Industry+</m:t>
                </m:r>
                <m:sSub>
                  <m:sSubPr>
                    <m:ctrlPr>
                      <w:rPr>
                        <w:rFonts w:ascii="Cambria Math" w:hAnsi="Cambria Math"/>
                        <w:i/>
                        <w:iCs/>
                        <w:sz w:val="20"/>
                        <w:szCs w:val="20"/>
                      </w:rPr>
                    </m:ctrlPr>
                  </m:sSubPr>
                  <m:e>
                    <m:r>
                      <w:rPr>
                        <w:rFonts w:ascii="Cambria Math" w:hAnsi="Cambria Math"/>
                        <w:sz w:val="20"/>
                        <w:szCs w:val="20"/>
                      </w:rPr>
                      <m:t>ε</m:t>
                    </m:r>
                  </m:e>
                  <m:sub>
                    <m:r>
                      <w:rPr>
                        <w:rFonts w:ascii="Cambria Math" w:hAnsi="Cambria Math"/>
                        <w:sz w:val="20"/>
                        <w:szCs w:val="20"/>
                      </w:rPr>
                      <m:t>i,t</m:t>
                    </m:r>
                  </m:sub>
                </m:sSub>
              </m:oMath>
            </m:oMathPara>
          </w:p>
        </w:tc>
        <w:tc>
          <w:tcPr>
            <w:tcW w:w="452" w:type="dxa"/>
          </w:tcPr>
          <w:p w14:paraId="0206D2EA" w14:textId="77777777" w:rsidR="001252C9" w:rsidRDefault="001252C9" w:rsidP="00AD715B">
            <w:pPr>
              <w:jc w:val="both"/>
              <w:rPr>
                <w:sz w:val="20"/>
                <w:szCs w:val="20"/>
              </w:rPr>
            </w:pPr>
            <w:r>
              <w:rPr>
                <w:sz w:val="20"/>
                <w:szCs w:val="20"/>
              </w:rPr>
              <w:t>(3)</w:t>
            </w:r>
          </w:p>
        </w:tc>
      </w:tr>
    </w:tbl>
    <w:p w14:paraId="5E169DD4" w14:textId="77777777" w:rsidR="001252C9" w:rsidRDefault="001252C9" w:rsidP="001252C9"/>
    <w:tbl>
      <w:tblPr>
        <w:tblStyle w:val="TableGrid"/>
        <w:tblW w:w="9361" w:type="dxa"/>
        <w:tblInd w:w="-5" w:type="dxa"/>
        <w:tblLook w:val="04A0" w:firstRow="1" w:lastRow="0" w:firstColumn="1" w:lastColumn="0" w:noHBand="0" w:noVBand="1"/>
      </w:tblPr>
      <w:tblGrid>
        <w:gridCol w:w="8909"/>
        <w:gridCol w:w="452"/>
      </w:tblGrid>
      <w:tr w:rsidR="001252C9" w14:paraId="0AB3B401" w14:textId="77777777" w:rsidTr="00AD715B">
        <w:tc>
          <w:tcPr>
            <w:tcW w:w="8909" w:type="dxa"/>
            <w:tcBorders>
              <w:top w:val="nil"/>
              <w:left w:val="nil"/>
              <w:bottom w:val="nil"/>
              <w:right w:val="nil"/>
            </w:tcBorders>
          </w:tcPr>
          <w:p w14:paraId="4F02A869" w14:textId="2604C3E0" w:rsidR="001252C9" w:rsidRPr="001252C9" w:rsidRDefault="00000000" w:rsidP="001252C9">
            <w:pPr>
              <w:jc w:val="center"/>
              <w:rPr>
                <w:iCs/>
                <w:sz w:val="21"/>
                <w:szCs w:val="21"/>
              </w:rPr>
            </w:pPr>
            <m:oMathPara>
              <m:oMath>
                <m:sSub>
                  <m:sSubPr>
                    <m:ctrlPr>
                      <w:rPr>
                        <w:rFonts w:ascii="Cambria Math" w:hAnsi="Cambria Math"/>
                        <w:i/>
                        <w:iCs/>
                        <w:sz w:val="21"/>
                        <w:szCs w:val="21"/>
                      </w:rPr>
                    </m:ctrlPr>
                  </m:sSubPr>
                  <m:e>
                    <m:r>
                      <w:rPr>
                        <w:rFonts w:ascii="Cambria Math" w:hAnsi="Cambria Math"/>
                        <w:sz w:val="21"/>
                        <w:szCs w:val="21"/>
                      </w:rPr>
                      <m:t>Degreep</m:t>
                    </m:r>
                  </m:e>
                  <m:sub>
                    <m:r>
                      <w:rPr>
                        <w:rFonts w:ascii="Cambria Math" w:hAnsi="Cambria Math"/>
                        <w:sz w:val="21"/>
                        <w:szCs w:val="21"/>
                      </w:rPr>
                      <m:t>i,t+1</m:t>
                    </m:r>
                  </m:sub>
                </m:sSub>
                <m:r>
                  <w:rPr>
                    <w:rFonts w:ascii="Cambria Math"/>
                    <w:sz w:val="21"/>
                    <w:szCs w:val="21"/>
                  </w:rPr>
                  <m:t>=</m:t>
                </m:r>
                <m:sSub>
                  <m:sSubPr>
                    <m:ctrlPr>
                      <w:rPr>
                        <w:rFonts w:ascii="Cambria Math" w:hAnsi="Cambria Math"/>
                        <w:i/>
                        <w:iCs/>
                        <w:sz w:val="21"/>
                        <w:szCs w:val="21"/>
                      </w:rPr>
                    </m:ctrlPr>
                  </m:sSubPr>
                  <m:e>
                    <m:r>
                      <w:rPr>
                        <w:rFonts w:ascii="Cambria Math" w:hAnsi="Cambria Math"/>
                        <w:sz w:val="21"/>
                        <w:szCs w:val="21"/>
                      </w:rPr>
                      <m:t>β</m:t>
                    </m:r>
                  </m:e>
                  <m:sub>
                    <m:r>
                      <w:rPr>
                        <w:rFonts w:ascii="Cambria Math" w:hAnsi="Cambria Math"/>
                        <w:sz w:val="21"/>
                        <w:szCs w:val="21"/>
                      </w:rPr>
                      <m:t>0</m:t>
                    </m:r>
                  </m:sub>
                </m:sSub>
                <m:sSub>
                  <m:sSubPr>
                    <m:ctrlPr>
                      <w:rPr>
                        <w:rFonts w:ascii="Cambria Math" w:hAnsi="Cambria Math"/>
                        <w:i/>
                        <w:iCs/>
                        <w:sz w:val="21"/>
                        <w:szCs w:val="21"/>
                      </w:rPr>
                    </m:ctrlPr>
                  </m:sSubPr>
                  <m:e>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Total</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β</m:t>
                    </m:r>
                  </m:e>
                  <m:sub>
                    <m:r>
                      <w:rPr>
                        <w:rFonts w:ascii="Cambria Math" w:hAnsi="Cambria Math"/>
                        <w:sz w:val="21"/>
                        <w:szCs w:val="21"/>
                      </w:rPr>
                      <m:t>2</m:t>
                    </m:r>
                  </m:sub>
                </m:sSub>
                <m:sSub>
                  <m:sSubPr>
                    <m:ctrlPr>
                      <w:rPr>
                        <w:rFonts w:ascii="Cambria Math" w:hAnsi="Cambria Math"/>
                        <w:i/>
                        <w:iCs/>
                        <w:sz w:val="21"/>
                        <w:szCs w:val="21"/>
                      </w:rPr>
                    </m:ctrlPr>
                  </m:sSubPr>
                  <m:e>
                    <m:r>
                      <w:rPr>
                        <w:rFonts w:ascii="Cambria Math" w:hAnsi="Cambria Math"/>
                        <w:sz w:val="20"/>
                        <w:szCs w:val="20"/>
                      </w:rPr>
                      <m:t>DegreeM</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iCs/>
                        <w:sz w:val="20"/>
                        <w:szCs w:val="20"/>
                      </w:rPr>
                    </m:ctrlPr>
                  </m:sSubPr>
                  <m:e>
                    <m:r>
                      <w:rPr>
                        <w:rFonts w:ascii="Cambria Math" w:hAnsi="Cambria Math"/>
                        <w:sz w:val="20"/>
                        <w:szCs w:val="20"/>
                      </w:rPr>
                      <m:t>Total</m:t>
                    </m:r>
                  </m:e>
                  <m:sub>
                    <m:r>
                      <w:rPr>
                        <w:rFonts w:ascii="Cambria Math" w:hAnsi="Cambria Math"/>
                        <w:sz w:val="20"/>
                        <w:szCs w:val="20"/>
                      </w:rPr>
                      <m:t>i,t</m:t>
                    </m:r>
                  </m:sub>
                </m:sSub>
                <m:r>
                  <w:rPr>
                    <w:rFonts w:ascii="Cambria Math" w:hAnsi="Cambria Math"/>
                    <w:sz w:val="21"/>
                    <w:szCs w:val="21"/>
                  </w:rPr>
                  <m:t>+</m:t>
                </m:r>
                <m:nary>
                  <m:naryPr>
                    <m:chr m:val="∑"/>
                    <m:limLoc m:val="subSup"/>
                    <m:ctrlPr>
                      <w:rPr>
                        <w:rFonts w:ascii="Cambria Math" w:hAnsi="Cambria Math"/>
                        <w:i/>
                        <w:iCs/>
                        <w:sz w:val="20"/>
                        <w:szCs w:val="20"/>
                      </w:rPr>
                    </m:ctrlPr>
                  </m:naryPr>
                  <m:sub>
                    <m:r>
                      <w:rPr>
                        <w:rFonts w:ascii="Cambria Math" w:hAnsi="Cambria Math"/>
                        <w:sz w:val="20"/>
                        <w:szCs w:val="20"/>
                      </w:rPr>
                      <m:t>k=3</m:t>
                    </m:r>
                  </m:sub>
                  <m:sup>
                    <m:r>
                      <w:rPr>
                        <w:rFonts w:ascii="Cambria Math" w:hAnsi="Cambria Math"/>
                        <w:sz w:val="20"/>
                        <w:szCs w:val="20"/>
                      </w:rPr>
                      <m:t>7</m:t>
                    </m:r>
                  </m:sup>
                  <m:e>
                    <m:sSub>
                      <m:sSubPr>
                        <m:ctrlPr>
                          <w:rPr>
                            <w:rFonts w:ascii="Cambria Math" w:hAnsi="Cambria Math"/>
                            <w:i/>
                            <w:iCs/>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iCs/>
                            <w:sz w:val="20"/>
                            <w:szCs w:val="20"/>
                          </w:rPr>
                        </m:ctrlPr>
                      </m:sSubPr>
                      <m:e>
                        <m:r>
                          <w:rPr>
                            <w:rFonts w:ascii="Cambria Math" w:hAnsi="Cambria Math"/>
                            <w:sz w:val="20"/>
                            <w:szCs w:val="20"/>
                          </w:rPr>
                          <m:t>Control</m:t>
                        </m:r>
                      </m:e>
                      <m:sub>
                        <m:r>
                          <w:rPr>
                            <w:rFonts w:ascii="Cambria Math" w:hAnsi="Cambria Math"/>
                            <w:sz w:val="20"/>
                            <w:szCs w:val="20"/>
                          </w:rPr>
                          <m:t>k</m:t>
                        </m:r>
                      </m:sub>
                    </m:sSub>
                    <m:r>
                      <w:rPr>
                        <w:rFonts w:ascii="Cambria Math" w:hAnsi="Cambria Math"/>
                        <w:sz w:val="20"/>
                        <w:szCs w:val="20"/>
                      </w:rPr>
                      <m:t>+</m:t>
                    </m:r>
                  </m:e>
                </m:nary>
                <m:r>
                  <w:rPr>
                    <w:rFonts w:ascii="Cambria Math" w:hAnsi="Cambria Math"/>
                    <w:sz w:val="20"/>
                    <w:szCs w:val="20"/>
                  </w:rPr>
                  <m:t>Year+Industry+Year ×Industry+</m:t>
                </m:r>
                <m:sSub>
                  <m:sSubPr>
                    <m:ctrlPr>
                      <w:rPr>
                        <w:rFonts w:ascii="Cambria Math" w:hAnsi="Cambria Math"/>
                        <w:i/>
                        <w:iCs/>
                        <w:sz w:val="20"/>
                        <w:szCs w:val="20"/>
                      </w:rPr>
                    </m:ctrlPr>
                  </m:sSubPr>
                  <m:e>
                    <m:r>
                      <w:rPr>
                        <w:rFonts w:ascii="Cambria Math" w:hAnsi="Cambria Math"/>
                        <w:sz w:val="20"/>
                        <w:szCs w:val="20"/>
                      </w:rPr>
                      <m:t>ε</m:t>
                    </m:r>
                  </m:e>
                  <m:sub>
                    <m:r>
                      <w:rPr>
                        <w:rFonts w:ascii="Cambria Math" w:hAnsi="Cambria Math"/>
                        <w:sz w:val="20"/>
                        <w:szCs w:val="20"/>
                      </w:rPr>
                      <m:t>i,t</m:t>
                    </m:r>
                  </m:sub>
                </m:sSub>
              </m:oMath>
            </m:oMathPara>
          </w:p>
        </w:tc>
        <w:tc>
          <w:tcPr>
            <w:tcW w:w="452" w:type="dxa"/>
            <w:tcBorders>
              <w:top w:val="nil"/>
              <w:left w:val="nil"/>
              <w:bottom w:val="nil"/>
              <w:right w:val="nil"/>
            </w:tcBorders>
          </w:tcPr>
          <w:p w14:paraId="3403A3E7" w14:textId="77777777" w:rsidR="001252C9" w:rsidRDefault="001252C9" w:rsidP="00AD715B">
            <w:pPr>
              <w:jc w:val="both"/>
              <w:rPr>
                <w:sz w:val="20"/>
                <w:szCs w:val="20"/>
              </w:rPr>
            </w:pPr>
            <w:r>
              <w:rPr>
                <w:sz w:val="20"/>
                <w:szCs w:val="20"/>
              </w:rPr>
              <w:t>(4)</w:t>
            </w:r>
          </w:p>
        </w:tc>
      </w:tr>
    </w:tbl>
    <w:p w14:paraId="2B0D5119" w14:textId="77777777" w:rsidR="001252C9" w:rsidRDefault="001252C9" w:rsidP="001252C9"/>
    <w:tbl>
      <w:tblPr>
        <w:tblStyle w:val="TableGrid"/>
        <w:tblW w:w="936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9"/>
        <w:gridCol w:w="452"/>
      </w:tblGrid>
      <w:tr w:rsidR="001252C9" w14:paraId="0FDD8223" w14:textId="77777777" w:rsidTr="00AD715B">
        <w:tc>
          <w:tcPr>
            <w:tcW w:w="8909" w:type="dxa"/>
          </w:tcPr>
          <w:p w14:paraId="74FB2394" w14:textId="1FDB2D16" w:rsidR="001252C9" w:rsidRPr="001252C9" w:rsidRDefault="00000000" w:rsidP="001252C9">
            <w:pPr>
              <w:jc w:val="center"/>
              <w:rPr>
                <w:iCs/>
                <w:sz w:val="21"/>
                <w:szCs w:val="21"/>
              </w:rPr>
            </w:pPr>
            <m:oMathPara>
              <m:oMath>
                <m:sSub>
                  <m:sSubPr>
                    <m:ctrlPr>
                      <w:rPr>
                        <w:rFonts w:ascii="Cambria Math" w:hAnsi="Cambria Math"/>
                        <w:i/>
                        <w:iCs/>
                        <w:sz w:val="21"/>
                        <w:szCs w:val="21"/>
                      </w:rPr>
                    </m:ctrlPr>
                  </m:sSubPr>
                  <m:e>
                    <m:r>
                      <w:rPr>
                        <w:rFonts w:ascii="Cambria Math" w:hAnsi="Cambria Math"/>
                        <w:sz w:val="21"/>
                        <w:szCs w:val="21"/>
                      </w:rPr>
                      <m:t>Degreep</m:t>
                    </m:r>
                  </m:e>
                  <m:sub>
                    <m:r>
                      <w:rPr>
                        <w:rFonts w:ascii="Cambria Math" w:hAnsi="Cambria Math"/>
                        <w:sz w:val="21"/>
                        <w:szCs w:val="21"/>
                      </w:rPr>
                      <m:t>i,t+1</m:t>
                    </m:r>
                  </m:sub>
                </m:sSub>
                <m:r>
                  <w:rPr>
                    <w:rFonts w:ascii="Cambria Math"/>
                    <w:sz w:val="21"/>
                    <w:szCs w:val="21"/>
                  </w:rPr>
                  <m:t>=</m:t>
                </m:r>
                <m:sSub>
                  <m:sSubPr>
                    <m:ctrlPr>
                      <w:rPr>
                        <w:rFonts w:ascii="Cambria Math" w:hAnsi="Cambria Math"/>
                        <w:i/>
                        <w:iCs/>
                        <w:sz w:val="21"/>
                        <w:szCs w:val="21"/>
                      </w:rPr>
                    </m:ctrlPr>
                  </m:sSubPr>
                  <m:e>
                    <m:r>
                      <w:rPr>
                        <w:rFonts w:ascii="Cambria Math" w:hAnsi="Cambria Math"/>
                        <w:sz w:val="21"/>
                        <w:szCs w:val="21"/>
                      </w:rPr>
                      <m:t>β</m:t>
                    </m:r>
                  </m:e>
                  <m:sub>
                    <m:r>
                      <w:rPr>
                        <w:rFonts w:ascii="Cambria Math" w:hAnsi="Cambria Math"/>
                        <w:sz w:val="21"/>
                        <w:szCs w:val="21"/>
                      </w:rPr>
                      <m:t>0</m:t>
                    </m:r>
                  </m:sub>
                </m:sSub>
                <m:sSub>
                  <m:sSubPr>
                    <m:ctrlPr>
                      <w:rPr>
                        <w:rFonts w:ascii="Cambria Math" w:hAnsi="Cambria Math"/>
                        <w:i/>
                        <w:iCs/>
                        <w:sz w:val="21"/>
                        <w:szCs w:val="21"/>
                      </w:rPr>
                    </m:ctrlPr>
                  </m:sSubPr>
                  <m:e>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Total</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β</m:t>
                    </m:r>
                  </m:e>
                  <m:sub>
                    <m:r>
                      <w:rPr>
                        <w:rFonts w:ascii="Cambria Math" w:hAnsi="Cambria Math"/>
                        <w:sz w:val="21"/>
                        <w:szCs w:val="21"/>
                      </w:rPr>
                      <m:t>2</m:t>
                    </m:r>
                  </m:sub>
                </m:sSub>
                <m:sSub>
                  <m:sSubPr>
                    <m:ctrlPr>
                      <w:rPr>
                        <w:rFonts w:ascii="Cambria Math" w:hAnsi="Cambria Math"/>
                        <w:i/>
                        <w:iCs/>
                        <w:sz w:val="21"/>
                        <w:szCs w:val="21"/>
                      </w:rPr>
                    </m:ctrlPr>
                  </m:sSubPr>
                  <m:e>
                    <m:r>
                      <w:rPr>
                        <w:rFonts w:ascii="Cambria Math" w:hAnsi="Cambria Math"/>
                        <w:sz w:val="21"/>
                        <w:szCs w:val="21"/>
                      </w:rPr>
                      <m:t>FinBackM</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iCs/>
                        <w:sz w:val="20"/>
                        <w:szCs w:val="20"/>
                      </w:rPr>
                    </m:ctrlPr>
                  </m:sSubPr>
                  <m:e>
                    <m:r>
                      <w:rPr>
                        <w:rFonts w:ascii="Cambria Math" w:hAnsi="Cambria Math"/>
                        <w:sz w:val="20"/>
                        <w:szCs w:val="20"/>
                      </w:rPr>
                      <m:t>Total</m:t>
                    </m:r>
                  </m:e>
                  <m:sub>
                    <m:r>
                      <w:rPr>
                        <w:rFonts w:ascii="Cambria Math" w:hAnsi="Cambria Math"/>
                        <w:sz w:val="20"/>
                        <w:szCs w:val="20"/>
                      </w:rPr>
                      <m:t>i,t</m:t>
                    </m:r>
                  </m:sub>
                </m:sSub>
                <m:r>
                  <w:rPr>
                    <w:rFonts w:ascii="Cambria Math" w:hAnsi="Cambria Math"/>
                    <w:sz w:val="21"/>
                    <w:szCs w:val="21"/>
                  </w:rPr>
                  <m:t>+</m:t>
                </m:r>
                <m:nary>
                  <m:naryPr>
                    <m:chr m:val="∑"/>
                    <m:limLoc m:val="subSup"/>
                    <m:ctrlPr>
                      <w:rPr>
                        <w:rFonts w:ascii="Cambria Math" w:hAnsi="Cambria Math"/>
                        <w:i/>
                        <w:iCs/>
                        <w:sz w:val="20"/>
                        <w:szCs w:val="20"/>
                      </w:rPr>
                    </m:ctrlPr>
                  </m:naryPr>
                  <m:sub>
                    <m:r>
                      <w:rPr>
                        <w:rFonts w:ascii="Cambria Math" w:hAnsi="Cambria Math"/>
                        <w:sz w:val="20"/>
                        <w:szCs w:val="20"/>
                      </w:rPr>
                      <m:t>k=3</m:t>
                    </m:r>
                  </m:sub>
                  <m:sup>
                    <m:r>
                      <w:rPr>
                        <w:rFonts w:ascii="Cambria Math" w:hAnsi="Cambria Math"/>
                        <w:sz w:val="20"/>
                        <w:szCs w:val="20"/>
                      </w:rPr>
                      <m:t>7</m:t>
                    </m:r>
                  </m:sup>
                  <m:e>
                    <m:sSub>
                      <m:sSubPr>
                        <m:ctrlPr>
                          <w:rPr>
                            <w:rFonts w:ascii="Cambria Math" w:hAnsi="Cambria Math"/>
                            <w:i/>
                            <w:iCs/>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iCs/>
                            <w:sz w:val="20"/>
                            <w:szCs w:val="20"/>
                          </w:rPr>
                        </m:ctrlPr>
                      </m:sSubPr>
                      <m:e>
                        <m:r>
                          <w:rPr>
                            <w:rFonts w:ascii="Cambria Math" w:hAnsi="Cambria Math"/>
                            <w:sz w:val="20"/>
                            <w:szCs w:val="20"/>
                          </w:rPr>
                          <m:t>Control</m:t>
                        </m:r>
                      </m:e>
                      <m:sub>
                        <m:r>
                          <w:rPr>
                            <w:rFonts w:ascii="Cambria Math" w:hAnsi="Cambria Math"/>
                            <w:sz w:val="20"/>
                            <w:szCs w:val="20"/>
                          </w:rPr>
                          <m:t>k</m:t>
                        </m:r>
                      </m:sub>
                    </m:sSub>
                    <m:r>
                      <w:rPr>
                        <w:rFonts w:ascii="Cambria Math" w:hAnsi="Cambria Math"/>
                        <w:sz w:val="20"/>
                        <w:szCs w:val="20"/>
                      </w:rPr>
                      <m:t>+</m:t>
                    </m:r>
                  </m:e>
                </m:nary>
                <m:r>
                  <w:rPr>
                    <w:rFonts w:ascii="Cambria Math" w:hAnsi="Cambria Math"/>
                    <w:sz w:val="20"/>
                    <w:szCs w:val="20"/>
                  </w:rPr>
                  <m:t>Year+Industry+Year ×Industry+</m:t>
                </m:r>
                <m:sSub>
                  <m:sSubPr>
                    <m:ctrlPr>
                      <w:rPr>
                        <w:rFonts w:ascii="Cambria Math" w:hAnsi="Cambria Math"/>
                        <w:i/>
                        <w:iCs/>
                        <w:sz w:val="20"/>
                        <w:szCs w:val="20"/>
                      </w:rPr>
                    </m:ctrlPr>
                  </m:sSubPr>
                  <m:e>
                    <m:r>
                      <w:rPr>
                        <w:rFonts w:ascii="Cambria Math" w:hAnsi="Cambria Math"/>
                        <w:sz w:val="20"/>
                        <w:szCs w:val="20"/>
                      </w:rPr>
                      <m:t>ε</m:t>
                    </m:r>
                  </m:e>
                  <m:sub>
                    <m:r>
                      <w:rPr>
                        <w:rFonts w:ascii="Cambria Math" w:hAnsi="Cambria Math"/>
                        <w:sz w:val="20"/>
                        <w:szCs w:val="20"/>
                      </w:rPr>
                      <m:t>i,t</m:t>
                    </m:r>
                  </m:sub>
                </m:sSub>
              </m:oMath>
            </m:oMathPara>
          </w:p>
        </w:tc>
        <w:tc>
          <w:tcPr>
            <w:tcW w:w="452" w:type="dxa"/>
          </w:tcPr>
          <w:p w14:paraId="6190ECE9" w14:textId="77777777" w:rsidR="001252C9" w:rsidRDefault="001252C9" w:rsidP="00AD715B">
            <w:pPr>
              <w:jc w:val="both"/>
              <w:rPr>
                <w:sz w:val="20"/>
                <w:szCs w:val="20"/>
              </w:rPr>
            </w:pPr>
            <w:r>
              <w:rPr>
                <w:sz w:val="20"/>
                <w:szCs w:val="20"/>
              </w:rPr>
              <w:t>(5)</w:t>
            </w:r>
          </w:p>
        </w:tc>
      </w:tr>
    </w:tbl>
    <w:p w14:paraId="32D78593" w14:textId="77777777" w:rsidR="008B4180" w:rsidRDefault="008B4180" w:rsidP="009224B0">
      <w:pPr>
        <w:pStyle w:val="BodyText"/>
        <w:spacing w:after="120"/>
        <w:rPr>
          <w:bCs/>
          <w:color w:val="000000" w:themeColor="text1"/>
        </w:rPr>
      </w:pPr>
    </w:p>
    <w:p w14:paraId="5B345A25" w14:textId="77777777" w:rsidR="00C6517D" w:rsidRDefault="00C6517D" w:rsidP="009224B0">
      <w:pPr>
        <w:pStyle w:val="BodyText"/>
        <w:spacing w:after="120"/>
        <w:rPr>
          <w:bCs/>
          <w:color w:val="000000" w:themeColor="text1"/>
        </w:rPr>
      </w:pPr>
      <w:r w:rsidRPr="00C6517D">
        <w:rPr>
          <w:bCs/>
          <w:color w:val="000000" w:themeColor="text1"/>
        </w:rPr>
        <w:t xml:space="preserve">To solve the endogeneity issues, this study adopts the instrumental variables. Following the instruction from </w:t>
      </w:r>
      <w:proofErr w:type="spellStart"/>
      <w:r w:rsidRPr="00C6517D">
        <w:rPr>
          <w:bCs/>
          <w:color w:val="000000" w:themeColor="text1"/>
        </w:rPr>
        <w:t>Cette</w:t>
      </w:r>
      <w:proofErr w:type="spellEnd"/>
      <w:r w:rsidRPr="00C6517D">
        <w:rPr>
          <w:bCs/>
          <w:color w:val="000000" w:themeColor="text1"/>
        </w:rPr>
        <w:t xml:space="preserve"> et al. (2022), this study adopts the leave-one-out mean of digitalization at the sector level. To validate the consistency and accuracy of our results, we conducted robustness tests using two different approaches. First, we introduced a lagged term of </w:t>
      </w:r>
      <w:r w:rsidRPr="00C6517D">
        <w:rPr>
          <w:bCs/>
          <w:color w:val="000000" w:themeColor="text1"/>
        </w:rPr>
        <w:lastRenderedPageBreak/>
        <w:t>digitalization (</w:t>
      </w:r>
      <w:proofErr w:type="spellStart"/>
      <w:r w:rsidRPr="00C6517D">
        <w:rPr>
          <w:bCs/>
          <w:i/>
          <w:iCs/>
          <w:color w:val="000000" w:themeColor="text1"/>
        </w:rPr>
        <w:t>LTotal</w:t>
      </w:r>
      <w:proofErr w:type="spellEnd"/>
      <w:r w:rsidRPr="00C6517D">
        <w:rPr>
          <w:bCs/>
          <w:color w:val="000000" w:themeColor="text1"/>
        </w:rPr>
        <w:t xml:space="preserve">) to examine if the impact of digitalization remains stable over time (Hao et al., 2023). Following the design of </w:t>
      </w:r>
      <w:proofErr w:type="spellStart"/>
      <w:r w:rsidRPr="00C6517D">
        <w:rPr>
          <w:bCs/>
          <w:color w:val="000000" w:themeColor="text1"/>
        </w:rPr>
        <w:t>Balsmeier</w:t>
      </w:r>
      <w:proofErr w:type="spellEnd"/>
      <w:r w:rsidRPr="00C6517D">
        <w:rPr>
          <w:bCs/>
          <w:color w:val="000000" w:themeColor="text1"/>
        </w:rPr>
        <w:t xml:space="preserve"> &amp; </w:t>
      </w:r>
      <w:proofErr w:type="spellStart"/>
      <w:r w:rsidRPr="00C6517D">
        <w:rPr>
          <w:bCs/>
          <w:color w:val="000000" w:themeColor="text1"/>
        </w:rPr>
        <w:t>Woerter</w:t>
      </w:r>
      <w:proofErr w:type="spellEnd"/>
      <w:r w:rsidRPr="00C6517D">
        <w:rPr>
          <w:bCs/>
          <w:color w:val="000000" w:themeColor="text1"/>
        </w:rPr>
        <w:t xml:space="preserve"> (2019), we shifted the measurement of employees with higher education from a relative measure (</w:t>
      </w:r>
      <w:proofErr w:type="spellStart"/>
      <w:r w:rsidRPr="00C6517D">
        <w:rPr>
          <w:bCs/>
          <w:i/>
          <w:iCs/>
          <w:color w:val="000000" w:themeColor="text1"/>
        </w:rPr>
        <w:t>Degreep</w:t>
      </w:r>
      <w:proofErr w:type="spellEnd"/>
      <w:r w:rsidRPr="00C6517D">
        <w:rPr>
          <w:bCs/>
          <w:color w:val="000000" w:themeColor="text1"/>
        </w:rPr>
        <w:t>, the proportion of higher educated employees) to an absolute measure (</w:t>
      </w:r>
      <w:r w:rsidRPr="00C6517D">
        <w:rPr>
          <w:bCs/>
          <w:i/>
          <w:iCs/>
          <w:color w:val="000000" w:themeColor="text1"/>
        </w:rPr>
        <w:t>Degree</w:t>
      </w:r>
      <w:r w:rsidRPr="00C6517D">
        <w:rPr>
          <w:bCs/>
          <w:color w:val="000000" w:themeColor="text1"/>
        </w:rPr>
        <w:t xml:space="preserve">, the total count of higher educated employees). </w:t>
      </w:r>
    </w:p>
    <w:p w14:paraId="039742D6" w14:textId="0E0A9418" w:rsidR="009224B0" w:rsidRPr="009224B0" w:rsidRDefault="00C6517D" w:rsidP="009224B0">
      <w:pPr>
        <w:pStyle w:val="BodyText"/>
        <w:spacing w:after="120"/>
        <w:rPr>
          <w:bCs/>
          <w:color w:val="000000" w:themeColor="text1"/>
        </w:rPr>
      </w:pPr>
      <w:r w:rsidRPr="00C6517D">
        <w:rPr>
          <w:bCs/>
          <w:color w:val="000000" w:themeColor="text1"/>
        </w:rPr>
        <w:t xml:space="preserve">Furthermore, </w:t>
      </w:r>
      <w:r>
        <w:rPr>
          <w:bCs/>
          <w:color w:val="000000" w:themeColor="text1"/>
        </w:rPr>
        <w:t>this study</w:t>
      </w:r>
      <w:r w:rsidRPr="00C6517D">
        <w:rPr>
          <w:bCs/>
          <w:color w:val="000000" w:themeColor="text1"/>
        </w:rPr>
        <w:t xml:space="preserve"> applied K-Nearest Neighbors (KNN) clustering to categorize Chinese companies based on the composition of their workforce across different departments, including production, finance, sales, technology, and other departments. </w:t>
      </w:r>
      <w:r>
        <w:rPr>
          <w:bCs/>
          <w:color w:val="000000" w:themeColor="text1"/>
        </w:rPr>
        <w:t>This study identified three clusters representing optimal and classic company personnel distribution structures by analyzing the total within-cluster sum of squares (WSS) and the Silhouette Coefficient</w:t>
      </w:r>
      <w:r w:rsidRPr="00C6517D">
        <w:rPr>
          <w:bCs/>
          <w:color w:val="000000" w:themeColor="text1"/>
        </w:rPr>
        <w:t>. These clusters serve as archetypes for organizational configurations in the Chinese corporate environment. Subsequently, this study examines the impact of digitization on the mobility and distribution of highly educated employees within these identified company structures.</w:t>
      </w:r>
    </w:p>
    <w:p w14:paraId="7C536BC1" w14:textId="57E470BF" w:rsidR="00E8768E" w:rsidRPr="004E278C" w:rsidRDefault="00E8768E" w:rsidP="009224B0">
      <w:pPr>
        <w:pStyle w:val="BodyText"/>
        <w:spacing w:after="120"/>
        <w:ind w:firstLine="0"/>
        <w:jc w:val="center"/>
        <w:rPr>
          <w:b/>
          <w:color w:val="000000" w:themeColor="text1"/>
        </w:rPr>
      </w:pPr>
      <w:r>
        <w:rPr>
          <w:b/>
          <w:color w:val="000000" w:themeColor="text1"/>
        </w:rPr>
        <w:t>Findings</w:t>
      </w:r>
    </w:p>
    <w:p w14:paraId="03C6EFDD" w14:textId="322B3808" w:rsidR="009224B0" w:rsidRPr="009224B0" w:rsidRDefault="009224B0" w:rsidP="009224B0">
      <w:pPr>
        <w:spacing w:after="120"/>
        <w:ind w:firstLine="720"/>
        <w:rPr>
          <w:color w:val="000000" w:themeColor="text1"/>
        </w:rPr>
      </w:pPr>
      <w:r w:rsidRPr="009224B0">
        <w:rPr>
          <w:color w:val="000000" w:themeColor="text1"/>
        </w:rPr>
        <w:t>The descriptive statistics and correlation analysis are presented in Table 2</w:t>
      </w:r>
      <w:r w:rsidR="00657AE9">
        <w:rPr>
          <w:color w:val="000000" w:themeColor="text1"/>
        </w:rPr>
        <w:t xml:space="preserve"> and </w:t>
      </w:r>
      <w:r w:rsidRPr="009224B0">
        <w:rPr>
          <w:color w:val="000000" w:themeColor="text1"/>
        </w:rPr>
        <w:t xml:space="preserve">3 As shown in Table 2, after handling missing data and merging databases, the dataset comprises 24,942 firm-year observations. The variable of interest, </w:t>
      </w:r>
      <w:proofErr w:type="spellStart"/>
      <w:r w:rsidRPr="009224B0">
        <w:rPr>
          <w:i/>
          <w:iCs/>
          <w:color w:val="000000" w:themeColor="text1"/>
        </w:rPr>
        <w:t>Degreep</w:t>
      </w:r>
      <w:proofErr w:type="spellEnd"/>
      <w:r w:rsidRPr="009224B0">
        <w:rPr>
          <w:color w:val="000000" w:themeColor="text1"/>
        </w:rPr>
        <w:t>, which represents the proportion of employees with higher education (master’s degree or above), has a mean value of approximately 5.26%, indicating that a relatively small proportion of employees hold higher education degrees. This highlights a potential underutilization of human capital, which could be further explored through the lens of human capital theory</w:t>
      </w:r>
      <w:r w:rsidR="00956960">
        <w:rPr>
          <w:color w:val="000000" w:themeColor="text1"/>
        </w:rPr>
        <w:t xml:space="preserve"> (CITATION)</w:t>
      </w:r>
      <w:r w:rsidRPr="009224B0">
        <w:rPr>
          <w:color w:val="000000" w:themeColor="text1"/>
        </w:rPr>
        <w:t>.</w:t>
      </w:r>
    </w:p>
    <w:p w14:paraId="01ECB6E6" w14:textId="06D2FD54" w:rsidR="009224B0" w:rsidRPr="009224B0" w:rsidRDefault="009224B0" w:rsidP="009224B0">
      <w:pPr>
        <w:spacing w:after="120"/>
        <w:rPr>
          <w:color w:val="000000" w:themeColor="text1"/>
        </w:rPr>
      </w:pPr>
      <w:r w:rsidRPr="009224B0">
        <w:rPr>
          <w:b/>
          <w:bCs/>
          <w:color w:val="000000" w:themeColor="text1"/>
        </w:rPr>
        <w:t>Descriptive Statistics</w:t>
      </w:r>
    </w:p>
    <w:p w14:paraId="71313F36" w14:textId="04CC6DDA" w:rsidR="009224B0" w:rsidRPr="009224B0" w:rsidRDefault="009224B0" w:rsidP="009224B0">
      <w:pPr>
        <w:spacing w:after="120"/>
        <w:ind w:firstLine="720"/>
        <w:rPr>
          <w:color w:val="000000" w:themeColor="text1"/>
        </w:rPr>
      </w:pPr>
      <w:r w:rsidRPr="009224B0">
        <w:rPr>
          <w:color w:val="000000" w:themeColor="text1"/>
        </w:rPr>
        <w:lastRenderedPageBreak/>
        <w:t xml:space="preserve">The positive mean of ROA suggests that, on average, listed firms in the sample are profitable. Furthermore, the small standard deviation suggests that the difference in profitability among those listed firms is small. The </w:t>
      </w:r>
      <w:r w:rsidR="009869DA">
        <w:rPr>
          <w:color w:val="000000" w:themeColor="text1"/>
        </w:rPr>
        <w:t>digital transformation</w:t>
      </w:r>
      <w:r w:rsidRPr="009224B0">
        <w:rPr>
          <w:color w:val="000000" w:themeColor="text1"/>
        </w:rPr>
        <w:t xml:space="preserve"> degree, measured by the variable Total, averages around 0.75, indicating that firms are still in the developmental stages of digital transformation, and many firms do not have related keywords in their financial statements. The higher education proportion average is 0.38, with a standard deviation of around 0.3 and a range of 0 to 1. Notably, the large standard deviation suggests that based on the average of 37.9%, organizational differences in TMT education level are apparent. The upper echelon theory can further examine the observation, which suggests that top management characteristics, such as education and career experience, influence strategic decisions relevant to </w:t>
      </w:r>
      <w:r w:rsidR="009869DA">
        <w:rPr>
          <w:color w:val="000000" w:themeColor="text1"/>
        </w:rPr>
        <w:t>digital transformation</w:t>
      </w:r>
      <w:r w:rsidRPr="009224B0">
        <w:rPr>
          <w:color w:val="000000" w:themeColor="text1"/>
        </w:rPr>
        <w:t xml:space="preserve">. Correspondingly, </w:t>
      </w:r>
      <w:proofErr w:type="spellStart"/>
      <w:r w:rsidRPr="009224B0">
        <w:rPr>
          <w:i/>
          <w:iCs/>
          <w:color w:val="000000" w:themeColor="text1"/>
        </w:rPr>
        <w:t>FinBackM</w:t>
      </w:r>
      <w:proofErr w:type="spellEnd"/>
      <w:r w:rsidRPr="009224B0">
        <w:rPr>
          <w:color w:val="000000" w:themeColor="text1"/>
        </w:rPr>
        <w:t xml:space="preserve"> and </w:t>
      </w:r>
      <w:proofErr w:type="spellStart"/>
      <w:r w:rsidRPr="009224B0">
        <w:rPr>
          <w:i/>
          <w:iCs/>
          <w:color w:val="000000" w:themeColor="text1"/>
        </w:rPr>
        <w:t>AcademicM</w:t>
      </w:r>
      <w:proofErr w:type="spellEnd"/>
      <w:r w:rsidRPr="009224B0">
        <w:rPr>
          <w:color w:val="000000" w:themeColor="text1"/>
        </w:rPr>
        <w:t xml:space="preserve"> have similar characteristics to </w:t>
      </w:r>
      <w:proofErr w:type="spellStart"/>
      <w:r w:rsidRPr="009224B0">
        <w:rPr>
          <w:i/>
          <w:iCs/>
          <w:color w:val="000000" w:themeColor="text1"/>
        </w:rPr>
        <w:t>DegreeM</w:t>
      </w:r>
      <w:proofErr w:type="spellEnd"/>
      <w:r w:rsidRPr="009224B0">
        <w:rPr>
          <w:color w:val="000000" w:themeColor="text1"/>
        </w:rPr>
        <w:t>, showing that they have a relatively small mean and a large variance. These dynamic experiences provided by their combination would potentially position the TMT to drive digital initiatives that leverage the firm's existing resources for sustained competitive advantage.</w:t>
      </w:r>
    </w:p>
    <w:p w14:paraId="0952FA87" w14:textId="77777777" w:rsidR="009224B0" w:rsidRPr="009224B0" w:rsidRDefault="009224B0" w:rsidP="008B4180">
      <w:pPr>
        <w:spacing w:after="120" w:line="240" w:lineRule="auto"/>
        <w:jc w:val="center"/>
        <w:rPr>
          <w:color w:val="000000" w:themeColor="text1"/>
        </w:rPr>
      </w:pPr>
      <w:r w:rsidRPr="009224B0">
        <w:rPr>
          <w:color w:val="000000" w:themeColor="text1"/>
        </w:rPr>
        <w:t>--------------------------------------------</w:t>
      </w:r>
    </w:p>
    <w:p w14:paraId="4F61B37B" w14:textId="7B68A0B4" w:rsidR="009224B0" w:rsidRPr="009224B0" w:rsidRDefault="009224B0" w:rsidP="008B4180">
      <w:pPr>
        <w:spacing w:after="120" w:line="240" w:lineRule="auto"/>
        <w:jc w:val="center"/>
        <w:rPr>
          <w:color w:val="000000" w:themeColor="text1"/>
        </w:rPr>
      </w:pPr>
      <w:r w:rsidRPr="009224B0">
        <w:rPr>
          <w:color w:val="000000" w:themeColor="text1"/>
        </w:rPr>
        <w:t xml:space="preserve">Table </w:t>
      </w:r>
      <w:r w:rsidR="001F7A7B">
        <w:rPr>
          <w:color w:val="000000" w:themeColor="text1"/>
        </w:rPr>
        <w:t>2</w:t>
      </w:r>
      <w:r w:rsidRPr="009224B0">
        <w:rPr>
          <w:color w:val="000000" w:themeColor="text1"/>
        </w:rPr>
        <w:t xml:space="preserve">. </w:t>
      </w:r>
      <w:r w:rsidR="001F7A7B">
        <w:rPr>
          <w:color w:val="000000" w:themeColor="text1"/>
        </w:rPr>
        <w:t>Descriptive Statistics of the Variables</w:t>
      </w:r>
    </w:p>
    <w:p w14:paraId="722F567D" w14:textId="77777777" w:rsidR="009224B0" w:rsidRPr="009224B0" w:rsidRDefault="009224B0" w:rsidP="008B4180">
      <w:pPr>
        <w:spacing w:after="120" w:line="240" w:lineRule="auto"/>
        <w:jc w:val="center"/>
        <w:rPr>
          <w:color w:val="000000" w:themeColor="text1"/>
        </w:rPr>
      </w:pPr>
      <w:r w:rsidRPr="009224B0">
        <w:rPr>
          <w:color w:val="000000" w:themeColor="text1"/>
        </w:rPr>
        <w:t>--------------------------------------------</w:t>
      </w:r>
    </w:p>
    <w:p w14:paraId="0077C2C2" w14:textId="77777777" w:rsidR="008B4180" w:rsidRDefault="008B4180" w:rsidP="009224B0">
      <w:pPr>
        <w:spacing w:after="120"/>
        <w:rPr>
          <w:b/>
          <w:bCs/>
          <w:color w:val="000000" w:themeColor="text1"/>
        </w:rPr>
      </w:pPr>
    </w:p>
    <w:p w14:paraId="0D687BF3" w14:textId="20949DD5" w:rsidR="009224B0" w:rsidRPr="009224B0" w:rsidRDefault="009224B0" w:rsidP="009224B0">
      <w:pPr>
        <w:spacing w:after="120"/>
        <w:rPr>
          <w:color w:val="000000" w:themeColor="text1"/>
        </w:rPr>
      </w:pPr>
      <w:r w:rsidRPr="009224B0">
        <w:rPr>
          <w:b/>
          <w:bCs/>
          <w:color w:val="000000" w:themeColor="text1"/>
        </w:rPr>
        <w:t>Correlation Analysis</w:t>
      </w:r>
    </w:p>
    <w:p w14:paraId="339AEE60" w14:textId="6981A8E2" w:rsidR="00956960" w:rsidRDefault="009224B0" w:rsidP="001F7A7B">
      <w:pPr>
        <w:spacing w:after="120"/>
        <w:ind w:firstLine="720"/>
        <w:rPr>
          <w:color w:val="000000" w:themeColor="text1"/>
        </w:rPr>
      </w:pPr>
      <w:r w:rsidRPr="009224B0">
        <w:rPr>
          <w:color w:val="000000" w:themeColor="text1"/>
        </w:rPr>
        <w:t>Table 3</w:t>
      </w:r>
      <w:r w:rsidR="001F7A7B">
        <w:rPr>
          <w:color w:val="000000" w:themeColor="text1"/>
        </w:rPr>
        <w:t xml:space="preserve"> shows</w:t>
      </w:r>
      <w:r w:rsidRPr="009224B0">
        <w:rPr>
          <w:color w:val="000000" w:themeColor="text1"/>
        </w:rPr>
        <w:t xml:space="preserve"> the correlation analysis </w:t>
      </w:r>
      <w:r w:rsidR="001F7A7B">
        <w:rPr>
          <w:color w:val="000000" w:themeColor="text1"/>
        </w:rPr>
        <w:t>result revealing several variables' relationship</w:t>
      </w:r>
      <w:r w:rsidRPr="009224B0">
        <w:rPr>
          <w:color w:val="000000" w:themeColor="text1"/>
        </w:rPr>
        <w:t>s. Most pairs have a p-value lower than 0.1, suggesting they are valid results. The positive correlation between the proportion of employees with higher education (</w:t>
      </w:r>
      <w:proofErr w:type="spellStart"/>
      <w:r w:rsidRPr="009224B0">
        <w:rPr>
          <w:i/>
          <w:iCs/>
          <w:color w:val="000000" w:themeColor="text1"/>
        </w:rPr>
        <w:t>Degreep</w:t>
      </w:r>
      <w:proofErr w:type="spellEnd"/>
      <w:r w:rsidRPr="009224B0">
        <w:rPr>
          <w:color w:val="000000" w:themeColor="text1"/>
        </w:rPr>
        <w:t>) and the degree of digitization (</w:t>
      </w:r>
      <w:r w:rsidRPr="009224B0">
        <w:rPr>
          <w:i/>
          <w:iCs/>
          <w:color w:val="000000" w:themeColor="text1"/>
        </w:rPr>
        <w:t>Total</w:t>
      </w:r>
      <w:r w:rsidRPr="009224B0">
        <w:rPr>
          <w:color w:val="000000" w:themeColor="text1"/>
        </w:rPr>
        <w:t xml:space="preserve">) suggests that firms with a more educated workforce are more inclined toward digital transformation. Notably, the relationship </w:t>
      </w:r>
      <w:r w:rsidR="00956960">
        <w:rPr>
          <w:color w:val="000000" w:themeColor="text1"/>
        </w:rPr>
        <w:t>betwee</w:t>
      </w:r>
      <w:r w:rsidRPr="009224B0">
        <w:rPr>
          <w:color w:val="000000" w:themeColor="text1"/>
        </w:rPr>
        <w:t>n the traditional indicators (</w:t>
      </w:r>
      <w:r w:rsidRPr="009224B0">
        <w:rPr>
          <w:i/>
          <w:iCs/>
          <w:color w:val="000000" w:themeColor="text1"/>
        </w:rPr>
        <w:t xml:space="preserve">ROA, </w:t>
      </w:r>
      <w:r w:rsidRPr="009224B0">
        <w:rPr>
          <w:i/>
          <w:iCs/>
          <w:color w:val="000000" w:themeColor="text1"/>
        </w:rPr>
        <w:lastRenderedPageBreak/>
        <w:t>Solvency</w:t>
      </w:r>
      <w:r w:rsidRPr="009224B0">
        <w:rPr>
          <w:color w:val="000000" w:themeColor="text1"/>
        </w:rPr>
        <w:t xml:space="preserve">, and </w:t>
      </w:r>
      <w:r w:rsidRPr="009224B0">
        <w:rPr>
          <w:i/>
          <w:iCs/>
          <w:color w:val="000000" w:themeColor="text1"/>
        </w:rPr>
        <w:t>Age</w:t>
      </w:r>
      <w:r w:rsidRPr="009224B0">
        <w:rPr>
          <w:color w:val="000000" w:themeColor="text1"/>
        </w:rPr>
        <w:t xml:space="preserve">) and their relationship with </w:t>
      </w:r>
      <w:r w:rsidR="009869DA">
        <w:rPr>
          <w:color w:val="000000" w:themeColor="text1"/>
        </w:rPr>
        <w:t>digital transformation</w:t>
      </w:r>
      <w:r w:rsidRPr="009224B0">
        <w:rPr>
          <w:color w:val="000000" w:themeColor="text1"/>
        </w:rPr>
        <w:t xml:space="preserve"> or higher education proposition are all slightly negative, suggesting a need for further research. However, </w:t>
      </w:r>
      <w:proofErr w:type="spellStart"/>
      <w:r w:rsidRPr="009224B0">
        <w:rPr>
          <w:i/>
          <w:iCs/>
          <w:color w:val="000000" w:themeColor="text1"/>
        </w:rPr>
        <w:t>DegreeP</w:t>
      </w:r>
      <w:proofErr w:type="spellEnd"/>
      <w:r w:rsidRPr="009224B0">
        <w:rPr>
          <w:color w:val="000000" w:themeColor="text1"/>
        </w:rPr>
        <w:t xml:space="preserve"> and </w:t>
      </w:r>
      <w:r w:rsidRPr="009224B0">
        <w:rPr>
          <w:i/>
          <w:iCs/>
          <w:color w:val="000000" w:themeColor="text1"/>
        </w:rPr>
        <w:t>Total</w:t>
      </w:r>
      <w:r w:rsidRPr="009224B0">
        <w:rPr>
          <w:color w:val="000000" w:themeColor="text1"/>
        </w:rPr>
        <w:t xml:space="preserve"> have a positive relation with the dynamic background of TMT, suggesting the TMT’s impact on </w:t>
      </w:r>
      <w:r w:rsidR="009869DA">
        <w:rPr>
          <w:color w:val="000000" w:themeColor="text1"/>
        </w:rPr>
        <w:t>digital transformation</w:t>
      </w:r>
      <w:r w:rsidRPr="009224B0">
        <w:rPr>
          <w:color w:val="000000" w:themeColor="text1"/>
        </w:rPr>
        <w:t xml:space="preserve"> and employee recruitment. </w:t>
      </w:r>
    </w:p>
    <w:p w14:paraId="7C67CC4D" w14:textId="63662451" w:rsidR="009224B0" w:rsidRPr="009224B0" w:rsidRDefault="009224B0" w:rsidP="009224B0">
      <w:pPr>
        <w:spacing w:after="120"/>
        <w:ind w:firstLine="720"/>
        <w:rPr>
          <w:color w:val="000000" w:themeColor="text1"/>
        </w:rPr>
      </w:pPr>
      <w:r w:rsidRPr="009224B0">
        <w:rPr>
          <w:color w:val="000000" w:themeColor="text1"/>
        </w:rPr>
        <w:t xml:space="preserve">Furthermore, the positive relations with top manager characteristics indicate that top managers would provide a more diversified experience for their working environment and raise proper organizational culture for their enterprises. Naturally, few exceptions exist; higher education proportion and shares per manager’s negative relation also encourage diversity within the TMT team. Meanwhile, </w:t>
      </w:r>
      <w:proofErr w:type="spellStart"/>
      <w:r w:rsidRPr="009224B0">
        <w:rPr>
          <w:i/>
          <w:iCs/>
          <w:color w:val="000000" w:themeColor="text1"/>
        </w:rPr>
        <w:t>SharesM</w:t>
      </w:r>
      <w:r w:rsidRPr="009224B0">
        <w:rPr>
          <w:color w:val="000000" w:themeColor="text1"/>
        </w:rPr>
        <w:t>’s</w:t>
      </w:r>
      <w:proofErr w:type="spellEnd"/>
      <w:r w:rsidRPr="009224B0">
        <w:rPr>
          <w:color w:val="000000" w:themeColor="text1"/>
        </w:rPr>
        <w:t xml:space="preserve"> negative relation with the top manager’s financial background indicates that managers with a comprehensive understanding of corporate finance would be more cautious in approaching the organization's superstructure. The result generally aligns with human capital theory as it highlights the role of skilled employees in adopting new technologies and how human capital tends to herd with similar characteristics</w:t>
      </w:r>
      <w:r w:rsidR="00956960">
        <w:rPr>
          <w:color w:val="000000" w:themeColor="text1"/>
        </w:rPr>
        <w:t xml:space="preserve"> (CITATION)</w:t>
      </w:r>
      <w:r w:rsidRPr="009224B0">
        <w:rPr>
          <w:color w:val="000000" w:themeColor="text1"/>
        </w:rPr>
        <w:t>.</w:t>
      </w:r>
    </w:p>
    <w:p w14:paraId="35159A90" w14:textId="77777777" w:rsidR="009224B0" w:rsidRPr="009224B0" w:rsidRDefault="009224B0" w:rsidP="008B4180">
      <w:pPr>
        <w:spacing w:after="120" w:line="240" w:lineRule="auto"/>
        <w:jc w:val="center"/>
        <w:rPr>
          <w:color w:val="000000" w:themeColor="text1"/>
        </w:rPr>
      </w:pPr>
      <w:r w:rsidRPr="009224B0">
        <w:rPr>
          <w:color w:val="000000" w:themeColor="text1"/>
        </w:rPr>
        <w:t>--------------------------------------------</w:t>
      </w:r>
    </w:p>
    <w:p w14:paraId="18D75211" w14:textId="04F68EA1" w:rsidR="009224B0" w:rsidRPr="009224B0" w:rsidRDefault="009224B0" w:rsidP="008B4180">
      <w:pPr>
        <w:spacing w:after="120" w:line="240" w:lineRule="auto"/>
        <w:jc w:val="center"/>
        <w:rPr>
          <w:color w:val="000000" w:themeColor="text1"/>
        </w:rPr>
      </w:pPr>
      <w:r w:rsidRPr="009224B0">
        <w:rPr>
          <w:color w:val="000000" w:themeColor="text1"/>
        </w:rPr>
        <w:t xml:space="preserve">Table </w:t>
      </w:r>
      <w:r w:rsidR="001F7A7B">
        <w:rPr>
          <w:color w:val="000000" w:themeColor="text1"/>
        </w:rPr>
        <w:t>3</w:t>
      </w:r>
      <w:r w:rsidRPr="009224B0">
        <w:rPr>
          <w:color w:val="000000" w:themeColor="text1"/>
        </w:rPr>
        <w:t xml:space="preserve">. </w:t>
      </w:r>
      <w:r w:rsidR="001F7A7B">
        <w:rPr>
          <w:color w:val="000000" w:themeColor="text1"/>
        </w:rPr>
        <w:t>Pairwise Correlations</w:t>
      </w:r>
    </w:p>
    <w:p w14:paraId="17742228" w14:textId="77777777" w:rsidR="009224B0" w:rsidRPr="009224B0" w:rsidRDefault="009224B0" w:rsidP="008B4180">
      <w:pPr>
        <w:spacing w:after="120" w:line="240" w:lineRule="auto"/>
        <w:jc w:val="center"/>
        <w:rPr>
          <w:color w:val="000000" w:themeColor="text1"/>
        </w:rPr>
      </w:pPr>
      <w:r w:rsidRPr="009224B0">
        <w:rPr>
          <w:color w:val="000000" w:themeColor="text1"/>
        </w:rPr>
        <w:t>--------------------------------------------</w:t>
      </w:r>
    </w:p>
    <w:p w14:paraId="004C12DF" w14:textId="77777777" w:rsidR="009224B0" w:rsidRDefault="009224B0" w:rsidP="009224B0">
      <w:pPr>
        <w:spacing w:after="120"/>
        <w:rPr>
          <w:b/>
          <w:bCs/>
          <w:color w:val="000000" w:themeColor="text1"/>
        </w:rPr>
      </w:pPr>
    </w:p>
    <w:p w14:paraId="721B562A" w14:textId="75C0CB81" w:rsidR="009224B0" w:rsidRPr="009224B0" w:rsidRDefault="009224B0" w:rsidP="009224B0">
      <w:pPr>
        <w:spacing w:after="120"/>
        <w:rPr>
          <w:b/>
          <w:bCs/>
          <w:color w:val="000000" w:themeColor="text1"/>
        </w:rPr>
      </w:pPr>
      <w:r w:rsidRPr="009224B0">
        <w:rPr>
          <w:b/>
          <w:bCs/>
          <w:color w:val="000000" w:themeColor="text1"/>
        </w:rPr>
        <w:t>Regression Analysis Outcomes</w:t>
      </w:r>
    </w:p>
    <w:p w14:paraId="1DC57AB4" w14:textId="432FB3BB" w:rsidR="009224B0" w:rsidRPr="009224B0" w:rsidRDefault="009224B0" w:rsidP="009224B0">
      <w:pPr>
        <w:spacing w:after="120"/>
        <w:ind w:firstLine="720"/>
        <w:rPr>
          <w:color w:val="000000" w:themeColor="text1"/>
        </w:rPr>
      </w:pPr>
      <w:r w:rsidRPr="009224B0">
        <w:rPr>
          <w:color w:val="000000" w:themeColor="text1"/>
        </w:rPr>
        <w:t xml:space="preserve">In Table 4, the </w:t>
      </w:r>
      <w:r w:rsidR="00956960">
        <w:rPr>
          <w:color w:val="000000" w:themeColor="text1"/>
        </w:rPr>
        <w:t>results of the first six model</w:t>
      </w:r>
      <w:r w:rsidRPr="009224B0">
        <w:rPr>
          <w:color w:val="000000" w:themeColor="text1"/>
        </w:rPr>
        <w:t xml:space="preserve">s are displayed; all the models are effective, with only age having a p-value larger than 0.1 in the model. From columns (1)-(2), </w:t>
      </w:r>
      <w:r w:rsidR="009869DA">
        <w:rPr>
          <w:color w:val="000000" w:themeColor="text1"/>
        </w:rPr>
        <w:t>digital transformation</w:t>
      </w:r>
      <w:r w:rsidRPr="009224B0">
        <w:rPr>
          <w:color w:val="000000" w:themeColor="text1"/>
        </w:rPr>
        <w:t xml:space="preserve"> (</w:t>
      </w:r>
      <w:r w:rsidRPr="009224B0">
        <w:rPr>
          <w:i/>
          <w:iCs/>
          <w:color w:val="000000" w:themeColor="text1"/>
        </w:rPr>
        <w:t>Total</w:t>
      </w:r>
      <w:r w:rsidRPr="009224B0">
        <w:rPr>
          <w:color w:val="000000" w:themeColor="text1"/>
        </w:rPr>
        <w:t xml:space="preserve">) has a highly positive </w:t>
      </w:r>
      <w:r w:rsidR="00956960">
        <w:rPr>
          <w:color w:val="000000" w:themeColor="text1"/>
        </w:rPr>
        <w:t>and significant effect on the proportion of employees with higher education degrees, following a non-linear relationship</w:t>
      </w:r>
      <w:r w:rsidRPr="009224B0">
        <w:rPr>
          <w:color w:val="000000" w:themeColor="text1"/>
        </w:rPr>
        <w:t>. Within the relevant domain (</w:t>
      </w:r>
      <w:r w:rsidRPr="009224B0">
        <w:rPr>
          <w:i/>
          <w:iCs/>
          <w:color w:val="000000" w:themeColor="text1"/>
        </w:rPr>
        <w:t>Total</w:t>
      </w:r>
      <w:r w:rsidRPr="009224B0">
        <w:rPr>
          <w:color w:val="000000" w:themeColor="text1"/>
        </w:rPr>
        <w:t xml:space="preserve"> ≥ 0), the proportion of employees with advanced degrees continues to rise as firms </w:t>
      </w:r>
      <w:r w:rsidRPr="009224B0">
        <w:rPr>
          <w:color w:val="000000" w:themeColor="text1"/>
        </w:rPr>
        <w:lastRenderedPageBreak/>
        <w:t xml:space="preserve">advance in their digital transformation. This pattern underscores the role of </w:t>
      </w:r>
      <w:r w:rsidR="009869DA">
        <w:rPr>
          <w:color w:val="000000" w:themeColor="text1"/>
        </w:rPr>
        <w:t>digital transformation</w:t>
      </w:r>
      <w:r w:rsidRPr="009224B0">
        <w:rPr>
          <w:color w:val="000000" w:themeColor="text1"/>
        </w:rPr>
        <w:t xml:space="preserve"> in driving demand for highly skilled labor, consistent with human capital theory</w:t>
      </w:r>
      <w:r w:rsidR="00E03E28">
        <w:rPr>
          <w:color w:val="000000" w:themeColor="text1"/>
        </w:rPr>
        <w:t xml:space="preserve"> (CITATION)</w:t>
      </w:r>
      <w:r w:rsidRPr="009224B0">
        <w:rPr>
          <w:color w:val="000000" w:themeColor="text1"/>
        </w:rPr>
        <w:t xml:space="preserve">. Furthermore, the regression mainly shows a negative relationship between firms’ age and employees with high education, which fits the results found by </w:t>
      </w:r>
      <w:proofErr w:type="spellStart"/>
      <w:r w:rsidRPr="009224B0">
        <w:rPr>
          <w:color w:val="000000" w:themeColor="text1"/>
        </w:rPr>
        <w:t>Børing</w:t>
      </w:r>
      <w:proofErr w:type="spellEnd"/>
      <w:r w:rsidRPr="009224B0">
        <w:rPr>
          <w:color w:val="000000" w:themeColor="text1"/>
        </w:rPr>
        <w:t xml:space="preserve"> (2020). </w:t>
      </w:r>
    </w:p>
    <w:p w14:paraId="3C00FF04" w14:textId="7A37FC24" w:rsidR="009224B0" w:rsidRPr="009224B0" w:rsidRDefault="009224B0" w:rsidP="009224B0">
      <w:pPr>
        <w:spacing w:after="120"/>
        <w:ind w:firstLine="720"/>
        <w:rPr>
          <w:color w:val="000000" w:themeColor="text1"/>
        </w:rPr>
      </w:pPr>
      <w:r w:rsidRPr="009224B0">
        <w:rPr>
          <w:color w:val="000000" w:themeColor="text1"/>
        </w:rPr>
        <w:t xml:space="preserve">In columns (3) to (6), this study examines the moderating effects of various characteristics of top managers. Only shares per manager displayed a negative impact directly. However, not only do managers' shares negatively moderate the relationship between </w:t>
      </w:r>
      <w:r w:rsidR="009869DA">
        <w:rPr>
          <w:color w:val="000000" w:themeColor="text1"/>
        </w:rPr>
        <w:t>digital transformation</w:t>
      </w:r>
      <w:r w:rsidRPr="009224B0">
        <w:rPr>
          <w:color w:val="000000" w:themeColor="text1"/>
        </w:rPr>
        <w:t xml:space="preserve"> and employee education level, but the financial experience</w:t>
      </w:r>
      <w:r w:rsidR="00657AE9">
        <w:rPr>
          <w:color w:val="000000" w:themeColor="text1"/>
        </w:rPr>
        <w:t xml:space="preserve"> </w:t>
      </w:r>
      <w:r w:rsidRPr="009224B0">
        <w:rPr>
          <w:color w:val="000000" w:themeColor="text1"/>
        </w:rPr>
        <w:t>(</w:t>
      </w:r>
      <w:proofErr w:type="spellStart"/>
      <w:r w:rsidRPr="009224B0">
        <w:rPr>
          <w:i/>
          <w:iCs/>
          <w:color w:val="000000" w:themeColor="text1"/>
        </w:rPr>
        <w:t>FinBackM</w:t>
      </w:r>
      <w:proofErr w:type="spellEnd"/>
      <w:r w:rsidRPr="009224B0">
        <w:rPr>
          <w:color w:val="000000" w:themeColor="text1"/>
        </w:rPr>
        <w:t xml:space="preserve">) </w:t>
      </w:r>
      <w:r w:rsidR="00E03E28">
        <w:rPr>
          <w:color w:val="000000" w:themeColor="text1"/>
        </w:rPr>
        <w:t xml:space="preserve">is </w:t>
      </w:r>
      <w:r w:rsidRPr="009224B0">
        <w:rPr>
          <w:color w:val="000000" w:themeColor="text1"/>
        </w:rPr>
        <w:t>also negatively</w:t>
      </w:r>
      <w:r w:rsidR="00E03E28">
        <w:rPr>
          <w:color w:val="000000" w:themeColor="text1"/>
        </w:rPr>
        <w:t xml:space="preserve"> associated with</w:t>
      </w:r>
      <w:r w:rsidRPr="009224B0">
        <w:rPr>
          <w:color w:val="000000" w:themeColor="text1"/>
        </w:rPr>
        <w:t xml:space="preserve"> the effect of </w:t>
      </w:r>
      <w:r w:rsidR="009869DA">
        <w:rPr>
          <w:color w:val="000000" w:themeColor="text1"/>
        </w:rPr>
        <w:t>digital transformation</w:t>
      </w:r>
      <w:r w:rsidRPr="009224B0">
        <w:rPr>
          <w:color w:val="000000" w:themeColor="text1"/>
        </w:rPr>
        <w:t xml:space="preserve">. The negative moderating impact of shares held by managers is possibly due to risk aversion or a shift in priorities toward personal financial security. Additionally, managers with financial backgrounds might prioritize financial conservatism over innovative strategies, potentially limiting the firm's growth opportunities. Generally, the impact of agency cost on the proportion of educated employees is larger than the financial conservatism within the TMT, indicating that financial specialists should be adequately arranged to assist organizations in winning more educated talents and implementing digitization. </w:t>
      </w:r>
    </w:p>
    <w:p w14:paraId="0D441C11" w14:textId="3FB67D8B" w:rsidR="009224B0" w:rsidRPr="009224B0" w:rsidRDefault="009224B0" w:rsidP="009224B0">
      <w:pPr>
        <w:spacing w:after="120"/>
        <w:ind w:firstLine="720"/>
        <w:rPr>
          <w:color w:val="000000" w:themeColor="text1"/>
        </w:rPr>
      </w:pPr>
      <w:r w:rsidRPr="009224B0">
        <w:rPr>
          <w:color w:val="000000" w:themeColor="text1"/>
        </w:rPr>
        <w:t>Moreover, higher education and academic background showed a positive impact. The positive moderating effect of top managers’ academic backgrounds (</w:t>
      </w:r>
      <w:proofErr w:type="spellStart"/>
      <w:r w:rsidRPr="009224B0">
        <w:rPr>
          <w:i/>
          <w:iCs/>
          <w:color w:val="000000" w:themeColor="text1"/>
        </w:rPr>
        <w:t>AcademicM</w:t>
      </w:r>
      <w:proofErr w:type="spellEnd"/>
      <w:r w:rsidRPr="009224B0">
        <w:rPr>
          <w:color w:val="000000" w:themeColor="text1"/>
        </w:rPr>
        <w:t>) and higher education (</w:t>
      </w:r>
      <w:proofErr w:type="spellStart"/>
      <w:r w:rsidRPr="009224B0">
        <w:rPr>
          <w:i/>
          <w:iCs/>
          <w:color w:val="000000" w:themeColor="text1"/>
        </w:rPr>
        <w:t>DegreeM</w:t>
      </w:r>
      <w:proofErr w:type="spellEnd"/>
      <w:r w:rsidRPr="009224B0">
        <w:rPr>
          <w:color w:val="000000" w:themeColor="text1"/>
        </w:rPr>
        <w:t>) suggests that academic expertise contributes to more informed decision-making, positively impacting firm performance. Specifically, the result highlights the positive moderating role of top managers with higher education (</w:t>
      </w:r>
      <w:proofErr w:type="spellStart"/>
      <w:r w:rsidRPr="009224B0">
        <w:rPr>
          <w:i/>
          <w:iCs/>
          <w:color w:val="000000" w:themeColor="text1"/>
        </w:rPr>
        <w:t>DegreeM</w:t>
      </w:r>
      <w:proofErr w:type="spellEnd"/>
      <w:r w:rsidRPr="009224B0">
        <w:rPr>
          <w:color w:val="000000" w:themeColor="text1"/>
        </w:rPr>
        <w:t xml:space="preserve">). In general, higher education-related experience would help the development of </w:t>
      </w:r>
      <w:r w:rsidR="009869DA">
        <w:rPr>
          <w:color w:val="000000" w:themeColor="text1"/>
        </w:rPr>
        <w:t>digital transformation</w:t>
      </w:r>
      <w:r w:rsidRPr="009224B0">
        <w:rPr>
          <w:color w:val="000000" w:themeColor="text1"/>
        </w:rPr>
        <w:t xml:space="preserve"> and gain the interest of educated talents. Considering the impact of the four backgrounds, we can conclude that managers and TMT with diverse backgrounds have faith in </w:t>
      </w:r>
      <w:r w:rsidR="009869DA">
        <w:rPr>
          <w:color w:val="000000" w:themeColor="text1"/>
        </w:rPr>
        <w:t>digital transformation</w:t>
      </w:r>
      <w:r w:rsidRPr="009224B0">
        <w:rPr>
          <w:color w:val="000000" w:themeColor="text1"/>
        </w:rPr>
        <w:t xml:space="preserve"> but worry </w:t>
      </w:r>
      <w:r w:rsidRPr="009224B0">
        <w:rPr>
          <w:color w:val="000000" w:themeColor="text1"/>
        </w:rPr>
        <w:lastRenderedPageBreak/>
        <w:t xml:space="preserve">about the cost </w:t>
      </w:r>
      <w:r w:rsidR="009869DA">
        <w:rPr>
          <w:color w:val="000000" w:themeColor="text1"/>
        </w:rPr>
        <w:t>digital transformation</w:t>
      </w:r>
      <w:r w:rsidRPr="009224B0">
        <w:rPr>
          <w:color w:val="000000" w:themeColor="text1"/>
        </w:rPr>
        <w:t xml:space="preserve"> and educated employees would bring. Notably, their faith is stronger than their concerns, so most firms are in the process of digitization and waiting for signs to increase their investments.</w:t>
      </w:r>
    </w:p>
    <w:p w14:paraId="08F562F7" w14:textId="77777777" w:rsidR="009224B0" w:rsidRPr="009224B0" w:rsidRDefault="009224B0" w:rsidP="008B4180">
      <w:pPr>
        <w:spacing w:after="120" w:line="240" w:lineRule="auto"/>
        <w:jc w:val="center"/>
        <w:rPr>
          <w:color w:val="000000" w:themeColor="text1"/>
        </w:rPr>
      </w:pPr>
      <w:r w:rsidRPr="009224B0">
        <w:rPr>
          <w:color w:val="000000" w:themeColor="text1"/>
        </w:rPr>
        <w:t>--------------------------------------------</w:t>
      </w:r>
    </w:p>
    <w:p w14:paraId="48E24657" w14:textId="4BF454EF" w:rsidR="009224B0" w:rsidRPr="009224B0" w:rsidRDefault="009224B0" w:rsidP="008B4180">
      <w:pPr>
        <w:spacing w:after="120" w:line="240" w:lineRule="auto"/>
        <w:jc w:val="center"/>
        <w:rPr>
          <w:color w:val="000000" w:themeColor="text1"/>
        </w:rPr>
      </w:pPr>
      <w:r w:rsidRPr="009224B0">
        <w:rPr>
          <w:color w:val="000000" w:themeColor="text1"/>
        </w:rPr>
        <w:t xml:space="preserve">Table </w:t>
      </w:r>
      <w:r w:rsidR="001F7A7B">
        <w:rPr>
          <w:color w:val="000000" w:themeColor="text1"/>
        </w:rPr>
        <w:t>4</w:t>
      </w:r>
      <w:r w:rsidRPr="009224B0">
        <w:rPr>
          <w:color w:val="000000" w:themeColor="text1"/>
        </w:rPr>
        <w:t xml:space="preserve">. </w:t>
      </w:r>
      <w:r w:rsidR="001F7A7B">
        <w:rPr>
          <w:color w:val="000000" w:themeColor="text1"/>
        </w:rPr>
        <w:t>Impact of Digital Technologies on Workforce Education</w:t>
      </w:r>
    </w:p>
    <w:p w14:paraId="2BB162AE" w14:textId="77777777" w:rsidR="009224B0" w:rsidRPr="009224B0" w:rsidRDefault="009224B0" w:rsidP="008B4180">
      <w:pPr>
        <w:spacing w:after="120" w:line="240" w:lineRule="auto"/>
        <w:jc w:val="center"/>
        <w:rPr>
          <w:color w:val="000000" w:themeColor="text1"/>
        </w:rPr>
      </w:pPr>
      <w:r w:rsidRPr="009224B0">
        <w:rPr>
          <w:color w:val="000000" w:themeColor="text1"/>
        </w:rPr>
        <w:t>--------------------------------------------</w:t>
      </w:r>
    </w:p>
    <w:p w14:paraId="64DD806C" w14:textId="77777777" w:rsidR="008B4180" w:rsidRDefault="008B4180" w:rsidP="009224B0">
      <w:pPr>
        <w:spacing w:after="120"/>
        <w:ind w:firstLine="720"/>
        <w:rPr>
          <w:color w:val="000000" w:themeColor="text1"/>
        </w:rPr>
      </w:pPr>
    </w:p>
    <w:p w14:paraId="4F237657" w14:textId="7F6DAB1A" w:rsidR="009224B0" w:rsidRPr="009224B0" w:rsidRDefault="009224B0" w:rsidP="009224B0">
      <w:pPr>
        <w:spacing w:after="120"/>
        <w:ind w:firstLine="720"/>
        <w:rPr>
          <w:color w:val="000000" w:themeColor="text1"/>
        </w:rPr>
      </w:pPr>
      <w:r w:rsidRPr="009224B0">
        <w:rPr>
          <w:color w:val="000000" w:themeColor="text1"/>
        </w:rPr>
        <w:t xml:space="preserve">Based on the results of Table 4, this study further explores how each four perspectives of </w:t>
      </w:r>
      <w:r w:rsidR="009869DA">
        <w:rPr>
          <w:color w:val="000000" w:themeColor="text1"/>
        </w:rPr>
        <w:t>digital transformation</w:t>
      </w:r>
      <w:r w:rsidRPr="009224B0">
        <w:rPr>
          <w:color w:val="000000" w:themeColor="text1"/>
        </w:rPr>
        <w:t xml:space="preserve"> affect the proportion of educated talents, including artificial intelligence (</w:t>
      </w:r>
      <w:r w:rsidRPr="00E03E28">
        <w:rPr>
          <w:i/>
          <w:iCs/>
          <w:color w:val="000000" w:themeColor="text1"/>
        </w:rPr>
        <w:t>AI</w:t>
      </w:r>
      <w:r w:rsidRPr="009224B0">
        <w:rPr>
          <w:color w:val="000000" w:themeColor="text1"/>
        </w:rPr>
        <w:t>), Big data technology (</w:t>
      </w:r>
      <w:r w:rsidRPr="00E03E28">
        <w:rPr>
          <w:i/>
          <w:iCs/>
          <w:color w:val="000000" w:themeColor="text1"/>
        </w:rPr>
        <w:t>Big</w:t>
      </w:r>
      <w:r w:rsidRPr="009224B0">
        <w:rPr>
          <w:color w:val="000000" w:themeColor="text1"/>
        </w:rPr>
        <w:t>), Cloud technology (</w:t>
      </w:r>
      <w:r w:rsidRPr="00E03E28">
        <w:rPr>
          <w:i/>
          <w:iCs/>
          <w:color w:val="000000" w:themeColor="text1"/>
        </w:rPr>
        <w:t>Cloud</w:t>
      </w:r>
      <w:r w:rsidRPr="009224B0">
        <w:rPr>
          <w:color w:val="000000" w:themeColor="text1"/>
        </w:rPr>
        <w:t>), and Blockchain (</w:t>
      </w:r>
      <w:r w:rsidRPr="00E03E28">
        <w:rPr>
          <w:i/>
          <w:iCs/>
          <w:color w:val="000000" w:themeColor="text1"/>
        </w:rPr>
        <w:t>Block</w:t>
      </w:r>
      <w:r w:rsidRPr="009224B0">
        <w:rPr>
          <w:color w:val="000000" w:themeColor="text1"/>
        </w:rPr>
        <w:t xml:space="preserve">) in Table 5. From columns (1-5), we can conclude that artificial intelligence, big data, and cloud technology positively impact higher education proportion, suggesting that these technologies drive the demand for a more educated workforce. These three factors have already impacted every organization's daily </w:t>
      </w:r>
      <w:r w:rsidR="003549C1" w:rsidRPr="009224B0">
        <w:rPr>
          <w:color w:val="000000" w:themeColor="text1"/>
        </w:rPr>
        <w:t>operation</w:t>
      </w:r>
      <w:r w:rsidRPr="009224B0">
        <w:rPr>
          <w:color w:val="000000" w:themeColor="text1"/>
        </w:rPr>
        <w:t xml:space="preserve"> and proved their effectiveness in repetitive tasks. According to our former analysis, TMT generally has more interest than concern in educated talents and </w:t>
      </w:r>
      <w:r w:rsidR="009869DA">
        <w:rPr>
          <w:color w:val="000000" w:themeColor="text1"/>
        </w:rPr>
        <w:t>digital transformation</w:t>
      </w:r>
      <w:r w:rsidRPr="009224B0">
        <w:rPr>
          <w:color w:val="000000" w:themeColor="text1"/>
        </w:rPr>
        <w:t xml:space="preserve">. This tendency would also operate together with the </w:t>
      </w:r>
      <w:r w:rsidR="009869DA">
        <w:rPr>
          <w:color w:val="000000" w:themeColor="text1"/>
        </w:rPr>
        <w:t>digital transformation</w:t>
      </w:r>
      <w:r w:rsidRPr="009224B0">
        <w:rPr>
          <w:color w:val="000000" w:themeColor="text1"/>
        </w:rPr>
        <w:t xml:space="preserve"> indicators to increase the percentage of educated workers. Notably, only age has a p-value larger than 0.1, suggesting that the impact of enterprises’ operating years is not as clear as other control variables. </w:t>
      </w:r>
    </w:p>
    <w:p w14:paraId="1E7FCC3D" w14:textId="5877B181" w:rsidR="009224B0" w:rsidRPr="009224B0" w:rsidRDefault="009224B0" w:rsidP="009224B0">
      <w:pPr>
        <w:spacing w:after="120"/>
        <w:ind w:firstLine="720"/>
        <w:rPr>
          <w:color w:val="000000" w:themeColor="text1"/>
        </w:rPr>
      </w:pPr>
      <w:r w:rsidRPr="009224B0">
        <w:rPr>
          <w:color w:val="000000" w:themeColor="text1"/>
        </w:rPr>
        <w:t xml:space="preserve">Only solvency, age, and blockchain negatively affect the higher education employee proportion. Higher solvency suggests a larger long-term liability, while older firms will promote conservatism. These factors would negatively impact TMT’s preference for educated talents due to the changes and costs they might bring. Though blockchain technology brings negative effects, the reason might be opposite to the demographic characteristics of enterprises. </w:t>
      </w:r>
      <w:r w:rsidRPr="009224B0">
        <w:rPr>
          <w:color w:val="000000" w:themeColor="text1"/>
        </w:rPr>
        <w:lastRenderedPageBreak/>
        <w:t xml:space="preserve">Blockchain technology has higher requirements for industry popularity and lower conversion rates in the daily operation of business entities (Casino et al., 2019). However, blockchain would provide a comparative advantage and become a technical barrier for the company (Casino et al., 2019). Thus, when considering investments in </w:t>
      </w:r>
      <w:r w:rsidR="009869DA">
        <w:rPr>
          <w:color w:val="000000" w:themeColor="text1"/>
        </w:rPr>
        <w:t>digital transformation</w:t>
      </w:r>
      <w:r w:rsidRPr="009224B0">
        <w:rPr>
          <w:color w:val="000000" w:themeColor="text1"/>
        </w:rPr>
        <w:t xml:space="preserve"> and talents, resources would either focus only on blockchain development or ignore the blockchain sector. When considering these factors, employees usually </w:t>
      </w:r>
      <w:r w:rsidR="00F026E6">
        <w:rPr>
          <w:color w:val="000000" w:themeColor="text1"/>
        </w:rPr>
        <w:t>negatively perceive</w:t>
      </w:r>
      <w:r w:rsidRPr="009224B0">
        <w:rPr>
          <w:color w:val="000000" w:themeColor="text1"/>
        </w:rPr>
        <w:t xml:space="preserve"> changes or try to avoid possible risks. Correspondingly, employees require</w:t>
      </w:r>
      <w:r w:rsidR="00F026E6">
        <w:rPr>
          <w:color w:val="000000" w:themeColor="text1"/>
        </w:rPr>
        <w:t xml:space="preserve"> TMT guidance</w:t>
      </w:r>
      <w:r w:rsidRPr="009224B0">
        <w:rPr>
          <w:color w:val="000000" w:themeColor="text1"/>
        </w:rPr>
        <w:t xml:space="preserve"> when considering </w:t>
      </w:r>
      <w:r w:rsidR="009869DA">
        <w:rPr>
          <w:color w:val="000000" w:themeColor="text1"/>
        </w:rPr>
        <w:t>digital transformation</w:t>
      </w:r>
      <w:r w:rsidRPr="009224B0">
        <w:rPr>
          <w:color w:val="000000" w:themeColor="text1"/>
        </w:rPr>
        <w:t xml:space="preserve"> and the proportion of educated talents.</w:t>
      </w:r>
    </w:p>
    <w:p w14:paraId="27CAF177" w14:textId="77777777" w:rsidR="009224B0" w:rsidRPr="009224B0" w:rsidRDefault="009224B0" w:rsidP="008B4180">
      <w:pPr>
        <w:spacing w:after="120" w:line="240" w:lineRule="auto"/>
        <w:jc w:val="center"/>
        <w:rPr>
          <w:color w:val="000000" w:themeColor="text1"/>
        </w:rPr>
      </w:pPr>
      <w:r w:rsidRPr="009224B0">
        <w:rPr>
          <w:color w:val="000000" w:themeColor="text1"/>
        </w:rPr>
        <w:t>--------------------------------------------</w:t>
      </w:r>
    </w:p>
    <w:p w14:paraId="2F9E29A3" w14:textId="0F6EFE51" w:rsidR="009224B0" w:rsidRPr="009224B0" w:rsidRDefault="009224B0" w:rsidP="008B4180">
      <w:pPr>
        <w:spacing w:after="120" w:line="240" w:lineRule="auto"/>
        <w:jc w:val="center"/>
        <w:rPr>
          <w:color w:val="000000" w:themeColor="text1"/>
        </w:rPr>
      </w:pPr>
      <w:r w:rsidRPr="009224B0">
        <w:rPr>
          <w:color w:val="000000" w:themeColor="text1"/>
        </w:rPr>
        <w:t xml:space="preserve">Table </w:t>
      </w:r>
      <w:r w:rsidR="001F7A7B">
        <w:rPr>
          <w:color w:val="000000" w:themeColor="text1"/>
        </w:rPr>
        <w:t>5</w:t>
      </w:r>
      <w:r w:rsidRPr="009224B0">
        <w:rPr>
          <w:color w:val="000000" w:themeColor="text1"/>
        </w:rPr>
        <w:t xml:space="preserve">. </w:t>
      </w:r>
      <w:r w:rsidR="001F7A7B">
        <w:rPr>
          <w:color w:val="000000" w:themeColor="text1"/>
        </w:rPr>
        <w:t>Impact of Digital Components on Workforce Education</w:t>
      </w:r>
    </w:p>
    <w:p w14:paraId="61B03006" w14:textId="77777777" w:rsidR="009224B0" w:rsidRPr="009224B0" w:rsidRDefault="009224B0" w:rsidP="008B4180">
      <w:pPr>
        <w:spacing w:after="120" w:line="240" w:lineRule="auto"/>
        <w:jc w:val="center"/>
        <w:rPr>
          <w:color w:val="000000" w:themeColor="text1"/>
        </w:rPr>
      </w:pPr>
      <w:r w:rsidRPr="009224B0">
        <w:rPr>
          <w:color w:val="000000" w:themeColor="text1"/>
        </w:rPr>
        <w:t>--------------------------------------------</w:t>
      </w:r>
    </w:p>
    <w:p w14:paraId="590BAA45" w14:textId="77777777" w:rsidR="008B4180" w:rsidRDefault="008B4180" w:rsidP="009224B0">
      <w:pPr>
        <w:spacing w:after="120"/>
        <w:rPr>
          <w:b/>
          <w:bCs/>
          <w:i/>
          <w:iCs/>
          <w:color w:val="000000" w:themeColor="text1"/>
        </w:rPr>
      </w:pPr>
    </w:p>
    <w:p w14:paraId="12B36613" w14:textId="1E6D8469" w:rsidR="009224B0" w:rsidRPr="009224B0" w:rsidRDefault="009224B0" w:rsidP="009224B0">
      <w:pPr>
        <w:spacing w:after="120"/>
        <w:rPr>
          <w:color w:val="000000" w:themeColor="text1"/>
        </w:rPr>
      </w:pPr>
      <w:r w:rsidRPr="009224B0">
        <w:rPr>
          <w:b/>
          <w:bCs/>
          <w:i/>
          <w:iCs/>
          <w:color w:val="000000" w:themeColor="text1"/>
        </w:rPr>
        <w:t xml:space="preserve">Robust Test and </w:t>
      </w:r>
      <w:r w:rsidR="00F026E6">
        <w:rPr>
          <w:b/>
          <w:bCs/>
          <w:i/>
          <w:iCs/>
          <w:color w:val="000000" w:themeColor="text1"/>
        </w:rPr>
        <w:t>T</w:t>
      </w:r>
      <w:r w:rsidRPr="009224B0">
        <w:rPr>
          <w:b/>
          <w:bCs/>
          <w:i/>
          <w:iCs/>
          <w:color w:val="000000" w:themeColor="text1"/>
        </w:rPr>
        <w:t>wo-stage Least Squares for Potential Endogeneity Issue</w:t>
      </w:r>
    </w:p>
    <w:p w14:paraId="075FA2A0" w14:textId="127A1B46" w:rsidR="009224B0" w:rsidRPr="009224B0" w:rsidRDefault="009224B0" w:rsidP="009224B0">
      <w:pPr>
        <w:spacing w:after="120"/>
        <w:ind w:firstLine="720"/>
        <w:rPr>
          <w:color w:val="000000" w:themeColor="text1"/>
        </w:rPr>
      </w:pPr>
      <w:r w:rsidRPr="009224B0">
        <w:rPr>
          <w:color w:val="000000" w:themeColor="text1"/>
        </w:rPr>
        <w:t xml:space="preserve">The results presented in Table 6 further confirm the robustness of our initial findings, demonstrating that the relationship between </w:t>
      </w:r>
      <w:r w:rsidR="009869DA">
        <w:rPr>
          <w:color w:val="000000" w:themeColor="text1"/>
        </w:rPr>
        <w:t>digital transformation</w:t>
      </w:r>
      <w:r w:rsidRPr="009224B0">
        <w:rPr>
          <w:color w:val="000000" w:themeColor="text1"/>
        </w:rPr>
        <w:t xml:space="preserve"> and workforce education remains consistent across various measures and time periods. In column (2), </w:t>
      </w:r>
      <w:r w:rsidR="009869DA">
        <w:rPr>
          <w:color w:val="000000" w:themeColor="text1"/>
        </w:rPr>
        <w:t>digital transformation</w:t>
      </w:r>
      <w:r w:rsidRPr="009224B0">
        <w:rPr>
          <w:color w:val="000000" w:themeColor="text1"/>
        </w:rPr>
        <w:t xml:space="preserve"> still has a significant positive effect on the employees with higher education degrees when the calculation turns the relative methods, </w:t>
      </w:r>
      <w:proofErr w:type="spellStart"/>
      <w:r w:rsidRPr="009224B0">
        <w:rPr>
          <w:i/>
          <w:iCs/>
          <w:color w:val="000000" w:themeColor="text1"/>
        </w:rPr>
        <w:t>Degreep</w:t>
      </w:r>
      <w:proofErr w:type="spellEnd"/>
      <w:r w:rsidRPr="009224B0">
        <w:rPr>
          <w:color w:val="000000" w:themeColor="text1"/>
        </w:rPr>
        <w:t xml:space="preserve">, to the absolute methods, </w:t>
      </w:r>
      <w:r w:rsidRPr="009224B0">
        <w:rPr>
          <w:i/>
          <w:iCs/>
          <w:color w:val="000000" w:themeColor="text1"/>
        </w:rPr>
        <w:t>Degree</w:t>
      </w:r>
      <w:r w:rsidRPr="009224B0">
        <w:rPr>
          <w:color w:val="000000" w:themeColor="text1"/>
        </w:rPr>
        <w:t xml:space="preserve">. The result is </w:t>
      </w:r>
      <w:proofErr w:type="gramStart"/>
      <w:r w:rsidRPr="009224B0">
        <w:rPr>
          <w:color w:val="000000" w:themeColor="text1"/>
        </w:rPr>
        <w:t>similar to</w:t>
      </w:r>
      <w:proofErr w:type="gramEnd"/>
      <w:r w:rsidRPr="009224B0">
        <w:rPr>
          <w:color w:val="000000" w:themeColor="text1"/>
        </w:rPr>
        <w:t xml:space="preserve"> the findings of </w:t>
      </w:r>
      <w:proofErr w:type="spellStart"/>
      <w:r w:rsidRPr="009224B0">
        <w:rPr>
          <w:color w:val="000000" w:themeColor="text1"/>
        </w:rPr>
        <w:t>Balsmeier</w:t>
      </w:r>
      <w:proofErr w:type="spellEnd"/>
      <w:r w:rsidRPr="009224B0">
        <w:rPr>
          <w:color w:val="000000" w:themeColor="text1"/>
        </w:rPr>
        <w:t xml:space="preserve"> &amp; </w:t>
      </w:r>
      <w:proofErr w:type="spellStart"/>
      <w:r w:rsidRPr="009224B0">
        <w:rPr>
          <w:color w:val="000000" w:themeColor="text1"/>
        </w:rPr>
        <w:t>Woerter</w:t>
      </w:r>
      <w:proofErr w:type="spellEnd"/>
      <w:r w:rsidRPr="009224B0">
        <w:rPr>
          <w:color w:val="000000" w:themeColor="text1"/>
        </w:rPr>
        <w:t xml:space="preserve"> (2019). With more awareness and adoption of </w:t>
      </w:r>
      <w:r w:rsidR="009869DA">
        <w:rPr>
          <w:color w:val="000000" w:themeColor="text1"/>
        </w:rPr>
        <w:t>digital transformation</w:t>
      </w:r>
      <w:r w:rsidRPr="009224B0">
        <w:rPr>
          <w:color w:val="000000" w:themeColor="text1"/>
        </w:rPr>
        <w:t xml:space="preserve">, firms tend to attract and hire employees with higher education since those employees can efficiently utilize digital technology and create optimal value (Cirillo et al., 2021). As for column (3), we include the lagged term for digitization, </w:t>
      </w:r>
      <w:proofErr w:type="spellStart"/>
      <w:r w:rsidRPr="009224B0">
        <w:rPr>
          <w:i/>
          <w:iCs/>
          <w:color w:val="000000" w:themeColor="text1"/>
        </w:rPr>
        <w:t>LTotal</w:t>
      </w:r>
      <w:proofErr w:type="spellEnd"/>
      <w:r w:rsidRPr="009224B0">
        <w:rPr>
          <w:color w:val="000000" w:themeColor="text1"/>
        </w:rPr>
        <w:t xml:space="preserve">, which also positively affects the employment of highly educated workers. This finding not only underscores the sustained impact of </w:t>
      </w:r>
      <w:r w:rsidR="009869DA">
        <w:rPr>
          <w:color w:val="000000" w:themeColor="text1"/>
        </w:rPr>
        <w:t>digital transformation</w:t>
      </w:r>
      <w:r w:rsidRPr="009224B0">
        <w:rPr>
          <w:color w:val="000000" w:themeColor="text1"/>
        </w:rPr>
        <w:t xml:space="preserve"> but also </w:t>
      </w:r>
      <w:r w:rsidRPr="009224B0">
        <w:rPr>
          <w:color w:val="000000" w:themeColor="text1"/>
        </w:rPr>
        <w:lastRenderedPageBreak/>
        <w:t xml:space="preserve">addresses potential concerns about reverse causality. </w:t>
      </w:r>
      <w:r w:rsidR="00C6517D" w:rsidRPr="00C6517D">
        <w:rPr>
          <w:color w:val="000000" w:themeColor="text1"/>
        </w:rPr>
        <w:t>Positive lagged effects indicate that the benefits of digital transformation on workforce training are not immediate but emerge gradually over time, capturing the lagged impacts as firms implement digital technologies incrementally</w:t>
      </w:r>
      <w:r w:rsidR="00C6517D">
        <w:rPr>
          <w:color w:val="000000" w:themeColor="text1"/>
        </w:rPr>
        <w:t xml:space="preserve"> </w:t>
      </w:r>
      <w:r w:rsidR="00C6517D" w:rsidRPr="00C6517D">
        <w:rPr>
          <w:color w:val="000000" w:themeColor="text1"/>
        </w:rPr>
        <w:t>(Gillani et al., 2020).</w:t>
      </w:r>
    </w:p>
    <w:p w14:paraId="7AEE7EAE" w14:textId="77777777" w:rsidR="009224B0" w:rsidRPr="009224B0" w:rsidRDefault="009224B0" w:rsidP="008B4180">
      <w:pPr>
        <w:spacing w:after="120" w:line="240" w:lineRule="auto"/>
        <w:jc w:val="center"/>
        <w:rPr>
          <w:color w:val="000000" w:themeColor="text1"/>
        </w:rPr>
      </w:pPr>
      <w:r w:rsidRPr="009224B0">
        <w:rPr>
          <w:color w:val="000000" w:themeColor="text1"/>
        </w:rPr>
        <w:t>--------------------------------------------</w:t>
      </w:r>
    </w:p>
    <w:p w14:paraId="2A7EE002" w14:textId="6010F4BC" w:rsidR="009224B0" w:rsidRPr="009224B0" w:rsidRDefault="009224B0" w:rsidP="008B4180">
      <w:pPr>
        <w:spacing w:after="120" w:line="240" w:lineRule="auto"/>
        <w:jc w:val="center"/>
        <w:rPr>
          <w:color w:val="000000" w:themeColor="text1"/>
        </w:rPr>
      </w:pPr>
      <w:r w:rsidRPr="009224B0">
        <w:rPr>
          <w:color w:val="000000" w:themeColor="text1"/>
        </w:rPr>
        <w:t xml:space="preserve">Table </w:t>
      </w:r>
      <w:r w:rsidR="001F7A7B">
        <w:rPr>
          <w:color w:val="000000" w:themeColor="text1"/>
        </w:rPr>
        <w:t>6</w:t>
      </w:r>
      <w:r w:rsidRPr="009224B0">
        <w:rPr>
          <w:color w:val="000000" w:themeColor="text1"/>
        </w:rPr>
        <w:t xml:space="preserve">. </w:t>
      </w:r>
      <w:r w:rsidR="001F7A7B">
        <w:rPr>
          <w:color w:val="000000" w:themeColor="text1"/>
        </w:rPr>
        <w:t>Robust Test</w:t>
      </w:r>
    </w:p>
    <w:p w14:paraId="60647DDF" w14:textId="77777777" w:rsidR="009224B0" w:rsidRPr="009224B0" w:rsidRDefault="009224B0" w:rsidP="008B4180">
      <w:pPr>
        <w:spacing w:after="120" w:line="240" w:lineRule="auto"/>
        <w:jc w:val="center"/>
        <w:rPr>
          <w:color w:val="000000" w:themeColor="text1"/>
        </w:rPr>
      </w:pPr>
      <w:r w:rsidRPr="009224B0">
        <w:rPr>
          <w:color w:val="000000" w:themeColor="text1"/>
        </w:rPr>
        <w:t>--------------------------------------------</w:t>
      </w:r>
    </w:p>
    <w:p w14:paraId="6CC13847" w14:textId="77777777" w:rsidR="008B4180" w:rsidRDefault="008B4180" w:rsidP="009224B0">
      <w:pPr>
        <w:spacing w:after="120"/>
        <w:ind w:firstLine="720"/>
        <w:rPr>
          <w:color w:val="000000" w:themeColor="text1"/>
        </w:rPr>
      </w:pPr>
    </w:p>
    <w:p w14:paraId="0A3DC95A" w14:textId="043EFF7D" w:rsidR="009224B0" w:rsidRPr="009224B0" w:rsidRDefault="00A4386A" w:rsidP="009224B0">
      <w:pPr>
        <w:spacing w:after="120"/>
        <w:ind w:firstLine="720"/>
        <w:rPr>
          <w:color w:val="000000" w:themeColor="text1"/>
        </w:rPr>
      </w:pPr>
      <w:r w:rsidRPr="00A4386A">
        <w:rPr>
          <w:color w:val="000000" w:themeColor="text1"/>
        </w:rPr>
        <w:t>To control potential endogeneity issues, this study employed the two-stage least squares (2SLS) method with instrumental variables. As Gopalan et al. (2022) suggested, this study used the instrumental variable of the leave-one-out mean as an instrumental variable, calculated by taking the average digitalization level within a sector, excluding the firm being analyzed. This approach helps control endogeneity by using sectoral digitalization trends, excluding the individual firm, as a valid instrument for firm-level digitalization. The Cragg-Donald Wald F statistic (11340.09) is much higher than any of the critical values within the analysis, which shows the strength and reliability of the chosen instrumental variables (Zeng et al., 2022; Gómez-</w:t>
      </w:r>
      <w:proofErr w:type="spellStart"/>
      <w:r w:rsidRPr="00A4386A">
        <w:rPr>
          <w:color w:val="000000" w:themeColor="text1"/>
        </w:rPr>
        <w:t>Bengoeche</w:t>
      </w:r>
      <w:proofErr w:type="spellEnd"/>
      <w:r w:rsidRPr="00A4386A">
        <w:rPr>
          <w:color w:val="000000" w:themeColor="text1"/>
        </w:rPr>
        <w:t xml:space="preserve"> &amp; Jung, 2024). It is also supported by the Anderson-Rubin Wald Test (Guo et al., 2023), shown in Table </w:t>
      </w:r>
      <w:r w:rsidR="001F7A7B">
        <w:rPr>
          <w:color w:val="000000" w:themeColor="text1"/>
        </w:rPr>
        <w:t>7</w:t>
      </w:r>
    </w:p>
    <w:p w14:paraId="7F624667" w14:textId="77777777" w:rsidR="009224B0" w:rsidRPr="009224B0" w:rsidRDefault="009224B0" w:rsidP="008B4180">
      <w:pPr>
        <w:spacing w:after="120" w:line="240" w:lineRule="auto"/>
        <w:jc w:val="center"/>
        <w:rPr>
          <w:color w:val="000000" w:themeColor="text1"/>
        </w:rPr>
      </w:pPr>
      <w:r w:rsidRPr="009224B0">
        <w:rPr>
          <w:color w:val="000000" w:themeColor="text1"/>
        </w:rPr>
        <w:t>--------------------------------------------</w:t>
      </w:r>
    </w:p>
    <w:p w14:paraId="7833CCE8" w14:textId="06D62777" w:rsidR="009224B0" w:rsidRPr="009224B0" w:rsidRDefault="009224B0" w:rsidP="008B4180">
      <w:pPr>
        <w:spacing w:after="120" w:line="240" w:lineRule="auto"/>
        <w:jc w:val="center"/>
        <w:rPr>
          <w:color w:val="000000" w:themeColor="text1"/>
        </w:rPr>
      </w:pPr>
      <w:r w:rsidRPr="009224B0">
        <w:rPr>
          <w:color w:val="000000" w:themeColor="text1"/>
        </w:rPr>
        <w:t xml:space="preserve">Table </w:t>
      </w:r>
      <w:r w:rsidR="001F7A7B">
        <w:rPr>
          <w:color w:val="000000" w:themeColor="text1"/>
        </w:rPr>
        <w:t>7</w:t>
      </w:r>
      <w:r w:rsidRPr="009224B0">
        <w:rPr>
          <w:color w:val="000000" w:themeColor="text1"/>
        </w:rPr>
        <w:t xml:space="preserve">. </w:t>
      </w:r>
      <w:r w:rsidR="001F7A7B">
        <w:rPr>
          <w:color w:val="000000" w:themeColor="text1"/>
        </w:rPr>
        <w:t>Two stages least square with instrumental variable</w:t>
      </w:r>
    </w:p>
    <w:p w14:paraId="7648EB45" w14:textId="77777777" w:rsidR="009224B0" w:rsidRPr="009224B0" w:rsidRDefault="009224B0" w:rsidP="008B4180">
      <w:pPr>
        <w:spacing w:after="120" w:line="240" w:lineRule="auto"/>
        <w:jc w:val="center"/>
        <w:rPr>
          <w:color w:val="000000" w:themeColor="text1"/>
        </w:rPr>
      </w:pPr>
      <w:r w:rsidRPr="009224B0">
        <w:rPr>
          <w:color w:val="000000" w:themeColor="text1"/>
        </w:rPr>
        <w:t>--------------------------------------------</w:t>
      </w:r>
    </w:p>
    <w:p w14:paraId="6676B42B" w14:textId="77777777" w:rsidR="009224B0" w:rsidRPr="009224B0" w:rsidRDefault="009224B0" w:rsidP="009224B0">
      <w:pPr>
        <w:spacing w:after="120"/>
        <w:rPr>
          <w:color w:val="000000" w:themeColor="text1"/>
        </w:rPr>
      </w:pPr>
    </w:p>
    <w:p w14:paraId="72EACA6E" w14:textId="1FA74A67" w:rsidR="009224B0" w:rsidRPr="009224B0" w:rsidRDefault="009224B0" w:rsidP="009224B0">
      <w:pPr>
        <w:spacing w:after="120"/>
        <w:rPr>
          <w:color w:val="000000" w:themeColor="text1"/>
        </w:rPr>
      </w:pPr>
      <w:r w:rsidRPr="009224B0">
        <w:rPr>
          <w:b/>
          <w:bCs/>
          <w:i/>
          <w:iCs/>
          <w:color w:val="000000" w:themeColor="text1"/>
        </w:rPr>
        <w:t xml:space="preserve">Organizational Clustering and </w:t>
      </w:r>
      <w:r w:rsidR="009869DA">
        <w:rPr>
          <w:b/>
          <w:bCs/>
          <w:i/>
          <w:iCs/>
          <w:color w:val="000000" w:themeColor="text1"/>
        </w:rPr>
        <w:t xml:space="preserve">Digital </w:t>
      </w:r>
      <w:r w:rsidR="00C6517D">
        <w:rPr>
          <w:b/>
          <w:bCs/>
          <w:i/>
          <w:iCs/>
          <w:color w:val="000000" w:themeColor="text1"/>
        </w:rPr>
        <w:t>T</w:t>
      </w:r>
      <w:r w:rsidR="009869DA">
        <w:rPr>
          <w:b/>
          <w:bCs/>
          <w:i/>
          <w:iCs/>
          <w:color w:val="000000" w:themeColor="text1"/>
        </w:rPr>
        <w:t>ransformation</w:t>
      </w:r>
      <w:r w:rsidRPr="009224B0">
        <w:rPr>
          <w:b/>
          <w:bCs/>
          <w:i/>
          <w:iCs/>
          <w:color w:val="000000" w:themeColor="text1"/>
        </w:rPr>
        <w:t xml:space="preserve"> Effect on Workforce Education Across Organizations</w:t>
      </w:r>
    </w:p>
    <w:p w14:paraId="3464E4FC" w14:textId="4ABCDA8F" w:rsidR="009224B0" w:rsidRPr="009224B0" w:rsidRDefault="009224B0" w:rsidP="009224B0">
      <w:pPr>
        <w:spacing w:after="120"/>
        <w:ind w:firstLine="720"/>
        <w:rPr>
          <w:color w:val="000000" w:themeColor="text1"/>
        </w:rPr>
      </w:pPr>
      <w:r w:rsidRPr="009224B0">
        <w:rPr>
          <w:color w:val="000000" w:themeColor="text1"/>
        </w:rPr>
        <w:lastRenderedPageBreak/>
        <w:t>Additionally, this study employs K-Nearest Neighbors (KNN) clustering to categorize Chinese companies based on the distribution of employees across various departments, including production, finance, sales, technology, and other departments. By analyzing the total within-cluster sum of squares (WSS) and the Silhouette Coefficient</w:t>
      </w:r>
      <w:r w:rsidR="000E3A94">
        <w:rPr>
          <w:color w:val="000000" w:themeColor="text1"/>
        </w:rPr>
        <w:t xml:space="preserve"> (refer to Appendix 2)</w:t>
      </w:r>
      <w:r w:rsidRPr="009224B0">
        <w:rPr>
          <w:color w:val="000000" w:themeColor="text1"/>
        </w:rPr>
        <w:t xml:space="preserve">, we identified three distinct organizational structures, shown in Figure 1. This study used </w:t>
      </w:r>
      <w:r w:rsidR="00B25C7D">
        <w:rPr>
          <w:color w:val="000000" w:themeColor="text1"/>
        </w:rPr>
        <w:t>p</w:t>
      </w:r>
      <w:r w:rsidRPr="009224B0">
        <w:rPr>
          <w:color w:val="000000" w:themeColor="text1"/>
        </w:rPr>
        <w:t xml:space="preserve">rincipal </w:t>
      </w:r>
      <w:r w:rsidR="00B25C7D">
        <w:rPr>
          <w:color w:val="000000" w:themeColor="text1"/>
        </w:rPr>
        <w:t>c</w:t>
      </w:r>
      <w:r w:rsidRPr="009224B0">
        <w:rPr>
          <w:color w:val="000000" w:themeColor="text1"/>
        </w:rPr>
        <w:t xml:space="preserve">omponent </w:t>
      </w:r>
      <w:r w:rsidR="00B25C7D">
        <w:rPr>
          <w:color w:val="000000" w:themeColor="text1"/>
        </w:rPr>
        <w:t>a</w:t>
      </w:r>
      <w:r w:rsidRPr="009224B0">
        <w:rPr>
          <w:color w:val="000000" w:themeColor="text1"/>
        </w:rPr>
        <w:t xml:space="preserve">nalysis (PCA) to reduce the data’s dimensionality for visualization. </w:t>
      </w:r>
      <w:r w:rsidR="007C4AC6">
        <w:rPr>
          <w:color w:val="000000" w:themeColor="text1"/>
        </w:rPr>
        <w:t>Group I, Group II, and Group III are the three main types of departments</w:t>
      </w:r>
      <w:r w:rsidRPr="009224B0">
        <w:rPr>
          <w:color w:val="000000" w:themeColor="text1"/>
        </w:rPr>
        <w:t xml:space="preserve">. Group </w:t>
      </w:r>
      <w:r w:rsidR="007C4AC6">
        <w:rPr>
          <w:color w:val="000000" w:themeColor="text1"/>
        </w:rPr>
        <w:t>a higher proportion of employees in sales and other departments characterizes me</w:t>
      </w:r>
      <w:r w:rsidRPr="009224B0">
        <w:rPr>
          <w:color w:val="000000" w:themeColor="text1"/>
        </w:rPr>
        <w:t xml:space="preserve">. Group II primarily focuses on production, and Group III is more oriented towards the technology department. The specific proportion for each department is shown in </w:t>
      </w:r>
      <w:r w:rsidR="000E3A94">
        <w:rPr>
          <w:color w:val="000000" w:themeColor="text1"/>
        </w:rPr>
        <w:t>Figure 1 and Appendix 1</w:t>
      </w:r>
      <w:r w:rsidRPr="009224B0">
        <w:rPr>
          <w:color w:val="000000" w:themeColor="text1"/>
        </w:rPr>
        <w:t xml:space="preserve">. </w:t>
      </w:r>
    </w:p>
    <w:p w14:paraId="1DB1572A" w14:textId="77777777" w:rsidR="009224B0" w:rsidRPr="009224B0" w:rsidRDefault="009224B0" w:rsidP="008B4180">
      <w:pPr>
        <w:spacing w:after="120" w:line="240" w:lineRule="auto"/>
        <w:jc w:val="center"/>
        <w:rPr>
          <w:color w:val="000000" w:themeColor="text1"/>
        </w:rPr>
      </w:pPr>
      <w:r w:rsidRPr="009224B0">
        <w:rPr>
          <w:color w:val="000000" w:themeColor="text1"/>
        </w:rPr>
        <w:t>--------------------------------------------</w:t>
      </w:r>
    </w:p>
    <w:p w14:paraId="3769A1E7" w14:textId="033293A8" w:rsidR="009224B0" w:rsidRPr="009224B0" w:rsidRDefault="009224B0" w:rsidP="008B4180">
      <w:pPr>
        <w:spacing w:after="120" w:line="240" w:lineRule="auto"/>
        <w:jc w:val="center"/>
        <w:rPr>
          <w:color w:val="000000" w:themeColor="text1"/>
        </w:rPr>
      </w:pPr>
      <w:r w:rsidRPr="009224B0">
        <w:rPr>
          <w:color w:val="000000" w:themeColor="text1"/>
        </w:rPr>
        <w:t xml:space="preserve">Figure </w:t>
      </w:r>
      <w:r w:rsidR="000E3A94">
        <w:rPr>
          <w:color w:val="000000" w:themeColor="text1"/>
        </w:rPr>
        <w:t>1</w:t>
      </w:r>
      <w:r w:rsidRPr="009224B0">
        <w:rPr>
          <w:color w:val="000000" w:themeColor="text1"/>
        </w:rPr>
        <w:t xml:space="preserve">. </w:t>
      </w:r>
      <w:r w:rsidR="000E3A94">
        <w:rPr>
          <w:color w:val="000000" w:themeColor="text1"/>
        </w:rPr>
        <w:t>Clusters of listed firm structure</w:t>
      </w:r>
    </w:p>
    <w:p w14:paraId="4572E98B" w14:textId="25422A3F" w:rsidR="008B4180" w:rsidRDefault="009224B0" w:rsidP="007C4AC6">
      <w:pPr>
        <w:spacing w:after="120" w:line="240" w:lineRule="auto"/>
        <w:jc w:val="center"/>
        <w:rPr>
          <w:color w:val="000000" w:themeColor="text1"/>
        </w:rPr>
      </w:pPr>
      <w:r w:rsidRPr="009224B0">
        <w:rPr>
          <w:color w:val="000000" w:themeColor="text1"/>
        </w:rPr>
        <w:t>--------------------------------------------</w:t>
      </w:r>
    </w:p>
    <w:p w14:paraId="72A9871B" w14:textId="20C8FD7B" w:rsidR="007C4AC6" w:rsidRDefault="009224B0" w:rsidP="009224B0">
      <w:pPr>
        <w:spacing w:after="120"/>
        <w:ind w:firstLine="720"/>
        <w:rPr>
          <w:color w:val="000000" w:themeColor="text1"/>
        </w:rPr>
      </w:pPr>
      <w:r w:rsidRPr="009224B0">
        <w:rPr>
          <w:color w:val="000000" w:themeColor="text1"/>
        </w:rPr>
        <w:t xml:space="preserve">Based on these main types of firm structures, the study further explores the impact of </w:t>
      </w:r>
      <w:r w:rsidR="009869DA">
        <w:rPr>
          <w:color w:val="000000" w:themeColor="text1"/>
        </w:rPr>
        <w:t>digital transformation</w:t>
      </w:r>
      <w:r w:rsidRPr="009224B0">
        <w:rPr>
          <w:color w:val="000000" w:themeColor="text1"/>
        </w:rPr>
        <w:t xml:space="preserve"> on the proportion of employees with higher education. As shown in Table 8, the results indicate that </w:t>
      </w:r>
      <w:r w:rsidR="009869DA">
        <w:rPr>
          <w:color w:val="000000" w:themeColor="text1"/>
        </w:rPr>
        <w:t>digital transformation</w:t>
      </w:r>
      <w:r w:rsidRPr="009224B0">
        <w:rPr>
          <w:color w:val="000000" w:themeColor="text1"/>
        </w:rPr>
        <w:t xml:space="preserve"> has a more pronounced positive effect in Groups II and III, suggesting that firms focusing on production and technology are better positioned to leverage digital transformation to enhance the educational qualifications of their workforce. Surprisingly, </w:t>
      </w:r>
      <w:r w:rsidR="009869DA">
        <w:rPr>
          <w:color w:val="000000" w:themeColor="text1"/>
        </w:rPr>
        <w:t>digital transformation</w:t>
      </w:r>
      <w:r w:rsidRPr="009224B0">
        <w:rPr>
          <w:color w:val="000000" w:themeColor="text1"/>
        </w:rPr>
        <w:t xml:space="preserve"> has more impact </w:t>
      </w:r>
      <w:r w:rsidR="007C4AC6">
        <w:rPr>
          <w:color w:val="000000" w:themeColor="text1"/>
        </w:rPr>
        <w:t>on</w:t>
      </w:r>
      <w:r w:rsidRPr="009224B0">
        <w:rPr>
          <w:color w:val="000000" w:themeColor="text1"/>
        </w:rPr>
        <w:t xml:space="preserve"> production than the technology sector, indicating the need for further research. Notably, all variables have vital requirements for sectors to become effective predictors. </w:t>
      </w:r>
      <w:r w:rsidRPr="009224B0">
        <w:rPr>
          <w:i/>
          <w:iCs/>
          <w:color w:val="000000" w:themeColor="text1"/>
        </w:rPr>
        <w:t>ROA</w:t>
      </w:r>
      <w:r w:rsidRPr="009224B0">
        <w:rPr>
          <w:color w:val="000000" w:themeColor="text1"/>
        </w:rPr>
        <w:t xml:space="preserve"> has a weak impact </w:t>
      </w:r>
      <w:r w:rsidR="00B25C7D">
        <w:rPr>
          <w:color w:val="000000" w:themeColor="text1"/>
        </w:rPr>
        <w:t>o</w:t>
      </w:r>
      <w:r w:rsidRPr="009224B0">
        <w:rPr>
          <w:color w:val="000000" w:themeColor="text1"/>
        </w:rPr>
        <w:t xml:space="preserve">n the production sector, </w:t>
      </w:r>
      <w:r w:rsidR="007C4AC6">
        <w:rPr>
          <w:color w:val="000000" w:themeColor="text1"/>
        </w:rPr>
        <w:t>which might impact a</w:t>
      </w:r>
      <w:r w:rsidRPr="009224B0">
        <w:rPr>
          <w:color w:val="000000" w:themeColor="text1"/>
        </w:rPr>
        <w:t xml:space="preserve"> large percentage of their fixed assets. </w:t>
      </w:r>
    </w:p>
    <w:p w14:paraId="217D2391" w14:textId="1754DD61" w:rsidR="009224B0" w:rsidRPr="009224B0" w:rsidRDefault="009224B0" w:rsidP="009224B0">
      <w:pPr>
        <w:spacing w:after="120"/>
        <w:ind w:firstLine="720"/>
        <w:rPr>
          <w:color w:val="000000" w:themeColor="text1"/>
        </w:rPr>
      </w:pPr>
      <w:r w:rsidRPr="009224B0">
        <w:rPr>
          <w:color w:val="000000" w:themeColor="text1"/>
        </w:rPr>
        <w:t xml:space="preserve">Meanwhile, it is hard for the production sector to keep up their plants and equipment with the </w:t>
      </w:r>
      <w:r w:rsidR="009869DA">
        <w:rPr>
          <w:color w:val="000000" w:themeColor="text1"/>
        </w:rPr>
        <w:t>digital transformation</w:t>
      </w:r>
      <w:r w:rsidRPr="009224B0">
        <w:rPr>
          <w:color w:val="000000" w:themeColor="text1"/>
        </w:rPr>
        <w:t xml:space="preserve"> trend. Age is only vital in the production sector because only big </w:t>
      </w:r>
      <w:r w:rsidRPr="009224B0">
        <w:rPr>
          <w:color w:val="000000" w:themeColor="text1"/>
        </w:rPr>
        <w:lastRenderedPageBreak/>
        <w:t xml:space="preserve">companies with years of operating experience </w:t>
      </w:r>
      <w:r w:rsidR="007C4AC6">
        <w:rPr>
          <w:color w:val="000000" w:themeColor="text1"/>
        </w:rPr>
        <w:t>must</w:t>
      </w:r>
      <w:r w:rsidRPr="009224B0">
        <w:rPr>
          <w:color w:val="000000" w:themeColor="text1"/>
        </w:rPr>
        <w:t xml:space="preserve"> employ more educated employees for continuous development. Correspondingly, solvency’s strong effect in the technology sector suggests that the technology industry focuses on converting debts since most SMEs cannot generate positive income in the beginning stage. This industry difference is significant and differs from each other, requiring further study. </w:t>
      </w:r>
    </w:p>
    <w:p w14:paraId="58CA425F" w14:textId="77777777" w:rsidR="009224B0" w:rsidRPr="009224B0" w:rsidRDefault="009224B0" w:rsidP="008B4180">
      <w:pPr>
        <w:spacing w:after="120" w:line="240" w:lineRule="auto"/>
        <w:jc w:val="center"/>
        <w:rPr>
          <w:color w:val="000000" w:themeColor="text1"/>
        </w:rPr>
      </w:pPr>
      <w:r w:rsidRPr="009224B0">
        <w:rPr>
          <w:color w:val="000000" w:themeColor="text1"/>
        </w:rPr>
        <w:t>--------------------------------------------</w:t>
      </w:r>
    </w:p>
    <w:p w14:paraId="62612867" w14:textId="4744530F" w:rsidR="009224B0" w:rsidRPr="009224B0" w:rsidRDefault="009224B0" w:rsidP="008B4180">
      <w:pPr>
        <w:spacing w:after="120" w:line="240" w:lineRule="auto"/>
        <w:jc w:val="center"/>
        <w:rPr>
          <w:color w:val="000000" w:themeColor="text1"/>
        </w:rPr>
      </w:pPr>
      <w:r w:rsidRPr="009224B0">
        <w:rPr>
          <w:color w:val="000000" w:themeColor="text1"/>
        </w:rPr>
        <w:t xml:space="preserve">Table </w:t>
      </w:r>
      <w:r w:rsidR="000E3A94">
        <w:rPr>
          <w:color w:val="000000" w:themeColor="text1"/>
        </w:rPr>
        <w:t>8</w:t>
      </w:r>
      <w:r w:rsidRPr="009224B0">
        <w:rPr>
          <w:color w:val="000000" w:themeColor="text1"/>
        </w:rPr>
        <w:t>. Table Title</w:t>
      </w:r>
    </w:p>
    <w:p w14:paraId="2B2E32FE" w14:textId="1951E6DC" w:rsidR="008B4180" w:rsidRDefault="009224B0" w:rsidP="007C4AC6">
      <w:pPr>
        <w:spacing w:after="120" w:line="240" w:lineRule="auto"/>
        <w:jc w:val="center"/>
        <w:rPr>
          <w:color w:val="000000" w:themeColor="text1"/>
        </w:rPr>
      </w:pPr>
      <w:r w:rsidRPr="009224B0">
        <w:rPr>
          <w:color w:val="000000" w:themeColor="text1"/>
        </w:rPr>
        <w:t>--------------------------------------------</w:t>
      </w:r>
    </w:p>
    <w:p w14:paraId="20B5AE10" w14:textId="77777777" w:rsidR="000E3A94" w:rsidRDefault="000E3A94" w:rsidP="007C4AC6">
      <w:pPr>
        <w:spacing w:after="120" w:line="240" w:lineRule="auto"/>
        <w:jc w:val="center"/>
        <w:rPr>
          <w:color w:val="000000" w:themeColor="text1"/>
        </w:rPr>
      </w:pPr>
    </w:p>
    <w:p w14:paraId="788D9C70" w14:textId="1E6DEB6E" w:rsidR="009224B0" w:rsidRPr="009224B0" w:rsidRDefault="009224B0" w:rsidP="009224B0">
      <w:pPr>
        <w:spacing w:after="120"/>
        <w:ind w:firstLine="720"/>
        <w:rPr>
          <w:color w:val="000000" w:themeColor="text1"/>
        </w:rPr>
      </w:pPr>
      <w:r w:rsidRPr="009224B0">
        <w:rPr>
          <w:color w:val="000000" w:themeColor="text1"/>
        </w:rPr>
        <w:t xml:space="preserve">Table 9 provides a comprehensive summary of the impact of various </w:t>
      </w:r>
      <w:r w:rsidR="009869DA">
        <w:rPr>
          <w:color w:val="000000" w:themeColor="text1"/>
        </w:rPr>
        <w:t>digital transformation</w:t>
      </w:r>
      <w:r w:rsidRPr="009224B0">
        <w:rPr>
          <w:color w:val="000000" w:themeColor="text1"/>
        </w:rPr>
        <w:t xml:space="preserve"> components on the proportion of employees with higher education, which varies across different organizational structures. The findings reveal that Artificial Intelligence consistently </w:t>
      </w:r>
      <w:r w:rsidR="007C4AC6">
        <w:rPr>
          <w:color w:val="000000" w:themeColor="text1"/>
        </w:rPr>
        <w:t>positively and significantly influences</w:t>
      </w:r>
      <w:r w:rsidRPr="009224B0">
        <w:rPr>
          <w:color w:val="000000" w:themeColor="text1"/>
        </w:rPr>
        <w:t xml:space="preserve"> employee education levels across all types, with stronger effects observed in structures focused on production and technology (Type II and III). Big Data also shows a significant positive impact on production-oriented firms (Type II). However, its </w:t>
      </w:r>
      <w:r w:rsidR="007C4AC6">
        <w:rPr>
          <w:color w:val="000000" w:themeColor="text1"/>
        </w:rPr>
        <w:t>negative effect in technology-focused firms (Type III) indicates</w:t>
      </w:r>
      <w:r w:rsidRPr="009224B0">
        <w:rPr>
          <w:color w:val="000000" w:themeColor="text1"/>
        </w:rPr>
        <w:t xml:space="preserve"> that different digital strategies prioritize varying skill sets. Big data might become the opportunity cost for more important sectors like Artificial Intelligence and Cloud Technology. Blockchain technology, on the other hand, is associated with a negative effect across all structures. It suggests that the skills required for blockchain may not </w:t>
      </w:r>
      <w:r w:rsidR="007C4AC6">
        <w:rPr>
          <w:color w:val="000000" w:themeColor="text1"/>
        </w:rPr>
        <w:t>currently align with higher education</w:t>
      </w:r>
      <w:r w:rsidRPr="009224B0">
        <w:rPr>
          <w:color w:val="000000" w:themeColor="text1"/>
        </w:rPr>
        <w:t xml:space="preserve">, and hiring educated talents may not generate results in the blockchain sector. Cloud technology's impact is mixed, being negative in sales-oriented firms (Type I) but significantly positive in production- and technology-oriented firms (Type II and III), which might be the data storage needed in different sectors. Generally, the sector analysis showed that different skills are </w:t>
      </w:r>
      <w:r w:rsidRPr="009224B0">
        <w:rPr>
          <w:color w:val="000000" w:themeColor="text1"/>
        </w:rPr>
        <w:lastRenderedPageBreak/>
        <w:t xml:space="preserve">preferred in the </w:t>
      </w:r>
      <w:r w:rsidR="007C4AC6">
        <w:rPr>
          <w:color w:val="000000" w:themeColor="text1"/>
        </w:rPr>
        <w:t>abovementioned sectors, and the skills might be misplaced</w:t>
      </w:r>
      <w:r w:rsidRPr="009224B0">
        <w:rPr>
          <w:color w:val="000000" w:themeColor="text1"/>
        </w:rPr>
        <w:t xml:space="preserve"> with higher education. This reminds the TMT that educated talents do not equal the talent organizational and </w:t>
      </w:r>
      <w:r w:rsidR="009869DA">
        <w:rPr>
          <w:color w:val="000000" w:themeColor="text1"/>
        </w:rPr>
        <w:t>digital transformation</w:t>
      </w:r>
      <w:r w:rsidRPr="009224B0">
        <w:rPr>
          <w:color w:val="000000" w:themeColor="text1"/>
        </w:rPr>
        <w:t xml:space="preserve"> development needs. </w:t>
      </w:r>
    </w:p>
    <w:p w14:paraId="6BB76E72" w14:textId="77777777" w:rsidR="009224B0" w:rsidRPr="009224B0" w:rsidRDefault="009224B0" w:rsidP="008B4180">
      <w:pPr>
        <w:spacing w:after="120" w:line="240" w:lineRule="auto"/>
        <w:jc w:val="center"/>
        <w:rPr>
          <w:color w:val="000000" w:themeColor="text1"/>
        </w:rPr>
      </w:pPr>
      <w:r w:rsidRPr="009224B0">
        <w:rPr>
          <w:color w:val="000000" w:themeColor="text1"/>
        </w:rPr>
        <w:t>--------------------------------------------</w:t>
      </w:r>
    </w:p>
    <w:p w14:paraId="7714EBB2" w14:textId="0334C9F2" w:rsidR="009224B0" w:rsidRPr="009224B0" w:rsidRDefault="009224B0" w:rsidP="008B4180">
      <w:pPr>
        <w:spacing w:after="120" w:line="240" w:lineRule="auto"/>
        <w:jc w:val="center"/>
        <w:rPr>
          <w:color w:val="000000" w:themeColor="text1"/>
        </w:rPr>
      </w:pPr>
      <w:r w:rsidRPr="009224B0">
        <w:rPr>
          <w:color w:val="000000" w:themeColor="text1"/>
        </w:rPr>
        <w:t xml:space="preserve">Table </w:t>
      </w:r>
      <w:r w:rsidR="000E3A94">
        <w:rPr>
          <w:color w:val="000000" w:themeColor="text1"/>
        </w:rPr>
        <w:t>9</w:t>
      </w:r>
      <w:r w:rsidRPr="009224B0">
        <w:rPr>
          <w:color w:val="000000" w:themeColor="text1"/>
        </w:rPr>
        <w:t xml:space="preserve">. </w:t>
      </w:r>
      <w:r w:rsidR="000E3A94">
        <w:rPr>
          <w:color w:val="000000" w:themeColor="text1"/>
        </w:rPr>
        <w:t>Type and Digitalization</w:t>
      </w:r>
    </w:p>
    <w:p w14:paraId="70FB8613" w14:textId="43B767BD" w:rsidR="00E8768E" w:rsidRPr="004327BD" w:rsidRDefault="009224B0" w:rsidP="004327BD">
      <w:pPr>
        <w:spacing w:after="120" w:line="240" w:lineRule="auto"/>
        <w:jc w:val="center"/>
        <w:rPr>
          <w:color w:val="000000" w:themeColor="text1"/>
        </w:rPr>
      </w:pPr>
      <w:r w:rsidRPr="009224B0">
        <w:rPr>
          <w:color w:val="000000" w:themeColor="text1"/>
        </w:rPr>
        <w:t>--------------------------------------------</w:t>
      </w:r>
    </w:p>
    <w:p w14:paraId="7F492AF2" w14:textId="77777777" w:rsidR="004327BD" w:rsidRDefault="004327BD" w:rsidP="009224B0">
      <w:pPr>
        <w:pStyle w:val="BodyText"/>
        <w:spacing w:after="120"/>
        <w:ind w:firstLine="0"/>
        <w:jc w:val="center"/>
        <w:rPr>
          <w:b/>
          <w:color w:val="000000" w:themeColor="text1"/>
        </w:rPr>
      </w:pPr>
    </w:p>
    <w:p w14:paraId="0FCBD243" w14:textId="6E138E5B" w:rsidR="00E8768E" w:rsidRPr="004E278C" w:rsidRDefault="00E8768E" w:rsidP="009224B0">
      <w:pPr>
        <w:pStyle w:val="BodyText"/>
        <w:spacing w:after="120"/>
        <w:ind w:firstLine="0"/>
        <w:jc w:val="center"/>
        <w:rPr>
          <w:b/>
          <w:color w:val="000000" w:themeColor="text1"/>
        </w:rPr>
      </w:pPr>
      <w:r>
        <w:rPr>
          <w:b/>
          <w:color w:val="000000" w:themeColor="text1"/>
        </w:rPr>
        <w:t>Discussion</w:t>
      </w:r>
      <w:r w:rsidR="00C6517D">
        <w:rPr>
          <w:b/>
          <w:color w:val="000000" w:themeColor="text1"/>
        </w:rPr>
        <w:t xml:space="preserve"> and Conclusion</w:t>
      </w:r>
    </w:p>
    <w:p w14:paraId="2300EB17" w14:textId="2983514E" w:rsidR="00C6517D" w:rsidRPr="00C6517D" w:rsidRDefault="00C6517D" w:rsidP="004327BD">
      <w:pPr>
        <w:spacing w:after="120"/>
        <w:ind w:firstLine="720"/>
        <w:rPr>
          <w:color w:val="000000" w:themeColor="text1"/>
        </w:rPr>
      </w:pPr>
      <w:r w:rsidRPr="00C6517D">
        <w:rPr>
          <w:color w:val="000000" w:themeColor="text1"/>
        </w:rPr>
        <w:t>The exploration of digital transformation’s impact on the structure and mobility of human resources within Chinese companies underscores a profound shift in these enterprises' operational and strategic frameworks. As they increasingly integrate advanced technologies like artificial intelligence, blockchain, cloud computing, and big data, employee dynamics, and organizational functionality ramifications become significantly pronounced. Th</w:t>
      </w:r>
      <w:r w:rsidR="004327BD">
        <w:rPr>
          <w:color w:val="000000" w:themeColor="text1"/>
        </w:rPr>
        <w:t>is</w:t>
      </w:r>
      <w:r w:rsidRPr="00C6517D">
        <w:rPr>
          <w:color w:val="000000" w:themeColor="text1"/>
        </w:rPr>
        <w:t xml:space="preserve"> study found that digital transformation has significantly increased the proportion of employees with higher education degrees</w:t>
      </w:r>
      <w:r w:rsidR="004327BD">
        <w:rPr>
          <w:color w:val="000000" w:themeColor="text1"/>
        </w:rPr>
        <w:t>. This</w:t>
      </w:r>
      <w:r w:rsidRPr="00C6517D">
        <w:rPr>
          <w:color w:val="000000" w:themeColor="text1"/>
        </w:rPr>
        <w:t xml:space="preserve"> means that the more advanced technology required as evidence of undergoing digital transformation a company becomes, the greater the demand for higher education qualifications. This is observed in the healthcare sector, where the integration of AI and cloud technologies is </w:t>
      </w:r>
      <w:r w:rsidR="004327BD">
        <w:rPr>
          <w:color w:val="000000" w:themeColor="text1"/>
        </w:rPr>
        <w:t>essential in optimizing resources and</w:t>
      </w:r>
      <w:r w:rsidRPr="00C6517D">
        <w:rPr>
          <w:color w:val="000000" w:themeColor="text1"/>
        </w:rPr>
        <w:t xml:space="preserve"> improving employee satisfaction and patient care</w:t>
      </w:r>
      <w:r w:rsidR="00B25C7D">
        <w:rPr>
          <w:color w:val="000000" w:themeColor="text1"/>
        </w:rPr>
        <w:t xml:space="preserve"> (CITATION)</w:t>
      </w:r>
      <w:r w:rsidRPr="00C6517D">
        <w:rPr>
          <w:color w:val="000000" w:themeColor="text1"/>
        </w:rPr>
        <w:t>. However, the shift to more digitalized operations has also brought complex challenges, including the potential for increased unemployment among digitally unfamiliar employees and the need for continuous skills development to keep the workforce adaptable and resilient.</w:t>
      </w:r>
    </w:p>
    <w:p w14:paraId="53AE71D3" w14:textId="7A507207" w:rsidR="00C6517D" w:rsidRPr="00C6517D" w:rsidRDefault="00C6517D" w:rsidP="00C6517D">
      <w:pPr>
        <w:spacing w:after="120"/>
        <w:ind w:firstLine="720"/>
        <w:rPr>
          <w:color w:val="000000" w:themeColor="text1"/>
        </w:rPr>
      </w:pPr>
      <w:r w:rsidRPr="00C6517D">
        <w:rPr>
          <w:color w:val="000000" w:themeColor="text1"/>
        </w:rPr>
        <w:lastRenderedPageBreak/>
        <w:t>The transformation of Chinese enterprises towards digitalization has significantly redefined the roles and requirements of employees in various sectors. Our findings indicate th</w:t>
      </w:r>
      <w:r w:rsidR="004327BD">
        <w:rPr>
          <w:color w:val="000000" w:themeColor="text1"/>
        </w:rPr>
        <w:t>at the integration of advanced technologies such as artificial intelligence (AI), cloud computing, and big data is driving a shift in the required skill sets</w:t>
      </w:r>
      <w:r w:rsidRPr="00C6517D">
        <w:rPr>
          <w:color w:val="000000" w:themeColor="text1"/>
        </w:rPr>
        <w:t xml:space="preserve">, which fundamentally impacts employee mobility within the industry. As companies transition to more digitalized operations, traditional roles are not only being replaced, but new opportunities </w:t>
      </w:r>
      <w:r w:rsidR="004327BD">
        <w:rPr>
          <w:color w:val="000000" w:themeColor="text1"/>
        </w:rPr>
        <w:t>that require specialized skills are emerging</w:t>
      </w:r>
      <w:r w:rsidRPr="00C6517D">
        <w:rPr>
          <w:color w:val="000000" w:themeColor="text1"/>
        </w:rPr>
        <w:t xml:space="preserve">. These changes highlight an important aspect of digital transformation: the need for employees to </w:t>
      </w:r>
      <w:r w:rsidR="004327BD">
        <w:rPr>
          <w:color w:val="000000" w:themeColor="text1"/>
        </w:rPr>
        <w:t>develop their skills and be adaptable continually</w:t>
      </w:r>
      <w:r w:rsidRPr="00C6517D">
        <w:rPr>
          <w:color w:val="000000" w:themeColor="text1"/>
        </w:rPr>
        <w:t>.</w:t>
      </w:r>
    </w:p>
    <w:p w14:paraId="641E5A8B" w14:textId="53AD8AB7" w:rsidR="00C6517D" w:rsidRPr="00C6517D" w:rsidRDefault="00C6517D" w:rsidP="00C6517D">
      <w:pPr>
        <w:spacing w:after="120"/>
        <w:ind w:firstLine="720"/>
        <w:rPr>
          <w:color w:val="000000" w:themeColor="text1"/>
        </w:rPr>
      </w:pPr>
      <w:r w:rsidRPr="00C6517D">
        <w:rPr>
          <w:color w:val="000000" w:themeColor="text1"/>
        </w:rPr>
        <w:t>The impact of digitalization is not uniformly influenced across all departments within organizations. Departments that require advanced technology for the task experience significant changes in jobs, roles, and dynamics overall, which implies the need for a strategic approach to managing these changes. Employees with higher education levels are often expected to adapt to these new demands better because they can better acquire and apply new competencies. This discrepancy in the competency of employees highlights the importance of training programs that improve digital fluency and literacy, enabling the workforce to navigate and adopt new technology adopted in the organization during digital transformation.</w:t>
      </w:r>
    </w:p>
    <w:p w14:paraId="7B846760" w14:textId="5443409A" w:rsidR="00C6517D" w:rsidRPr="00C6517D" w:rsidRDefault="00C6517D" w:rsidP="00C6517D">
      <w:pPr>
        <w:spacing w:after="120"/>
        <w:ind w:firstLine="720"/>
        <w:rPr>
          <w:color w:val="000000" w:themeColor="text1"/>
        </w:rPr>
      </w:pPr>
      <w:r w:rsidRPr="00C6517D">
        <w:rPr>
          <w:color w:val="000000" w:themeColor="text1"/>
        </w:rPr>
        <w:t xml:space="preserve">The top management team's role and support are critical to successfully exploring the challenges and opportunities presented by digital transformation. In this study, we found that TMT members' education level and experience </w:t>
      </w:r>
      <w:r w:rsidR="004327BD">
        <w:rPr>
          <w:color w:val="000000" w:themeColor="text1"/>
        </w:rPr>
        <w:t>are pivotal</w:t>
      </w:r>
      <w:r w:rsidRPr="00C6517D">
        <w:rPr>
          <w:color w:val="000000" w:themeColor="text1"/>
        </w:rPr>
        <w:t xml:space="preserve"> in </w:t>
      </w:r>
      <w:r w:rsidR="00CA66EA">
        <w:rPr>
          <w:color w:val="000000" w:themeColor="text1"/>
        </w:rPr>
        <w:t>initiating and directing</w:t>
      </w:r>
      <w:r w:rsidRPr="00C6517D">
        <w:rPr>
          <w:color w:val="000000" w:themeColor="text1"/>
        </w:rPr>
        <w:t xml:space="preserve"> digital transformation. A more academically accomplished and diverse TMT is better positioned to leverage digital technologies, enhancing the workforce's educational standing and operational efficiency. However, this may reveal the dual-edged nature of </w:t>
      </w:r>
      <w:r w:rsidR="00CA66EA">
        <w:rPr>
          <w:color w:val="000000" w:themeColor="text1"/>
        </w:rPr>
        <w:t xml:space="preserve">digital </w:t>
      </w:r>
      <w:proofErr w:type="spellStart"/>
      <w:r w:rsidR="00CA66EA">
        <w:rPr>
          <w:color w:val="000000" w:themeColor="text1"/>
        </w:rPr>
        <w:t>transoformation</w:t>
      </w:r>
      <w:proofErr w:type="spellEnd"/>
      <w:r w:rsidRPr="00C6517D">
        <w:rPr>
          <w:color w:val="000000" w:themeColor="text1"/>
        </w:rPr>
        <w:t xml:space="preserve">, where the </w:t>
      </w:r>
      <w:r w:rsidRPr="00C6517D">
        <w:rPr>
          <w:color w:val="000000" w:themeColor="text1"/>
        </w:rPr>
        <w:lastRenderedPageBreak/>
        <w:t>potential for job displacement and the necessity for adaptive skills development coexist with opportunities for growth and innovation.</w:t>
      </w:r>
    </w:p>
    <w:p w14:paraId="17E8901F" w14:textId="77777777" w:rsidR="00C6517D" w:rsidRPr="00C6517D" w:rsidRDefault="00C6517D" w:rsidP="00C6517D">
      <w:pPr>
        <w:spacing w:after="120"/>
        <w:rPr>
          <w:b/>
          <w:bCs/>
          <w:color w:val="000000" w:themeColor="text1"/>
        </w:rPr>
      </w:pPr>
      <w:r w:rsidRPr="00C6517D">
        <w:rPr>
          <w:b/>
          <w:bCs/>
          <w:color w:val="000000" w:themeColor="text1"/>
        </w:rPr>
        <w:t>Challenges and Opportunities</w:t>
      </w:r>
    </w:p>
    <w:p w14:paraId="6EF8A398" w14:textId="0E81C81E" w:rsidR="00C6517D" w:rsidRPr="00C6517D" w:rsidRDefault="00C6517D" w:rsidP="004327BD">
      <w:pPr>
        <w:spacing w:after="120"/>
        <w:ind w:firstLine="720"/>
        <w:rPr>
          <w:color w:val="000000" w:themeColor="text1"/>
        </w:rPr>
      </w:pPr>
      <w:r w:rsidRPr="00C6517D">
        <w:rPr>
          <w:color w:val="000000" w:themeColor="text1"/>
        </w:rPr>
        <w:t xml:space="preserve">This study found that the effects of digital transformation extend beyond enhancing operational efficiencies. We found digital transformation influences the educational structure and </w:t>
      </w:r>
      <w:r w:rsidR="00CA66EA">
        <w:rPr>
          <w:color w:val="000000" w:themeColor="text1"/>
        </w:rPr>
        <w:t>workforce mobility</w:t>
      </w:r>
      <w:r w:rsidRPr="00C6517D">
        <w:rPr>
          <w:color w:val="000000" w:themeColor="text1"/>
        </w:rPr>
        <w:t xml:space="preserve"> across the sector. While digital transformation fosters an environment where higher education and advanced skills are increasingly valued, it also necessitates the reevaluation of traditional roles and the development of new competencies. Also, the findings showed a positive correlation between digitalization and the level of employee education, indicating that firms with more educated workforces are more adept at embracing digital transformations. The uneven</w:t>
      </w:r>
      <w:r w:rsidR="00CA66EA">
        <w:rPr>
          <w:color w:val="000000" w:themeColor="text1"/>
        </w:rPr>
        <w:t xml:space="preserve"> distribution of</w:t>
      </w:r>
      <w:r w:rsidRPr="00C6517D">
        <w:rPr>
          <w:color w:val="000000" w:themeColor="text1"/>
        </w:rPr>
        <w:t xml:space="preserve"> required digital skill</w:t>
      </w:r>
      <w:r w:rsidR="00CA66EA">
        <w:rPr>
          <w:color w:val="000000" w:themeColor="text1"/>
        </w:rPr>
        <w:t>s and competency influence</w:t>
      </w:r>
      <w:r w:rsidRPr="00C6517D">
        <w:rPr>
          <w:color w:val="000000" w:themeColor="text1"/>
        </w:rPr>
        <w:t xml:space="preserve">s different departments. It represents the varying effects on employee groups that necessitate a tailored approach to digital strategy implementation. </w:t>
      </w:r>
    </w:p>
    <w:p w14:paraId="53A8DDD4" w14:textId="77777777" w:rsidR="00C6517D" w:rsidRPr="00C6517D" w:rsidRDefault="00C6517D" w:rsidP="00C6517D">
      <w:pPr>
        <w:spacing w:after="120"/>
        <w:rPr>
          <w:b/>
          <w:bCs/>
          <w:color w:val="000000" w:themeColor="text1"/>
        </w:rPr>
      </w:pPr>
      <w:r w:rsidRPr="00C6517D">
        <w:rPr>
          <w:b/>
          <w:bCs/>
          <w:color w:val="000000" w:themeColor="text1"/>
        </w:rPr>
        <w:t>Limitation and Suggestion</w:t>
      </w:r>
    </w:p>
    <w:p w14:paraId="1052DF2B" w14:textId="5785DEF9" w:rsidR="00C6517D" w:rsidRPr="00C6517D" w:rsidRDefault="00C6517D" w:rsidP="00C6517D">
      <w:pPr>
        <w:spacing w:after="120"/>
        <w:ind w:firstLine="720"/>
        <w:rPr>
          <w:color w:val="000000" w:themeColor="text1"/>
        </w:rPr>
      </w:pPr>
      <w:r w:rsidRPr="00C6517D">
        <w:rPr>
          <w:color w:val="000000" w:themeColor="text1"/>
        </w:rPr>
        <w:t xml:space="preserve">Like all other research, this study has its limitations, which must be acknowledged </w:t>
      </w:r>
      <w:r w:rsidR="004327BD">
        <w:rPr>
          <w:color w:val="000000" w:themeColor="text1"/>
        </w:rPr>
        <w:t>better to</w:t>
      </w:r>
      <w:r w:rsidRPr="00C6517D">
        <w:rPr>
          <w:color w:val="000000" w:themeColor="text1"/>
        </w:rPr>
        <w:t xml:space="preserve"> understand the scope and applicability of its findings. A major limitation of this study is that the focus is on a small number of digital technologies—artificial intelligence, blockchain, cloud computing, and big data. Additionally, the geographical and sectoral confinement limits the generalizability of the findings. These results may not directly translate to other regions or sectors where digital transformation dynamics could differ. In addition, the study's methodological reliance on the frequency of digitization keywords from financial reports as a proxy for digital adoption may not accurately capture the depth and effectiveness of digital technology integration into operational practices. </w:t>
      </w:r>
    </w:p>
    <w:p w14:paraId="27964B82" w14:textId="23E6F174" w:rsidR="00C6517D" w:rsidRPr="00C6517D" w:rsidRDefault="00C6517D" w:rsidP="00C6517D">
      <w:pPr>
        <w:spacing w:after="120"/>
        <w:ind w:firstLine="720"/>
        <w:rPr>
          <w:color w:val="000000" w:themeColor="text1"/>
        </w:rPr>
      </w:pPr>
      <w:r w:rsidRPr="00C6517D">
        <w:rPr>
          <w:color w:val="000000" w:themeColor="text1"/>
        </w:rPr>
        <w:lastRenderedPageBreak/>
        <w:t xml:space="preserve">Future research should broaden the range of technologies and industries studied, incorporate qualitative findings to enrich the understanding of the impact of digital transformation and explore the long-term effects of digitalization on workforce dynamics. To address these limitations, several recommendations for future research can be made. Broadening the range of digital technologies studied could provide a more comprehensive view of the impact of digital transformation. Broadening the geographical and sectoral scope of the research could improve the applicability and relevance of the findings in different contexts. In addition, incorporating qualitative methods, such as interviews and focus groups, could enrich the quantitative data and provide nuanced insights into </w:t>
      </w:r>
      <w:r w:rsidR="00824A04">
        <w:rPr>
          <w:color w:val="000000" w:themeColor="text1"/>
        </w:rPr>
        <w:t>digitalization's personal and organizational impacts</w:t>
      </w:r>
      <w:r w:rsidRPr="00C6517D">
        <w:rPr>
          <w:color w:val="000000" w:themeColor="text1"/>
        </w:rPr>
        <w:t xml:space="preserve"> that surveys and financial data cannot capture. </w:t>
      </w:r>
    </w:p>
    <w:p w14:paraId="4BDB835B" w14:textId="77777777" w:rsidR="00C6517D" w:rsidRPr="00C6517D" w:rsidRDefault="00C6517D" w:rsidP="00C6517D">
      <w:pPr>
        <w:spacing w:after="120"/>
        <w:rPr>
          <w:b/>
          <w:bCs/>
          <w:color w:val="000000" w:themeColor="text1"/>
        </w:rPr>
      </w:pPr>
      <w:r w:rsidRPr="00C6517D">
        <w:rPr>
          <w:b/>
          <w:bCs/>
          <w:color w:val="000000" w:themeColor="text1"/>
        </w:rPr>
        <w:t>Conclusion</w:t>
      </w:r>
    </w:p>
    <w:p w14:paraId="29A78B45" w14:textId="51986D66" w:rsidR="004301CA" w:rsidRDefault="00C6517D" w:rsidP="00C6517D">
      <w:pPr>
        <w:spacing w:after="120"/>
        <w:ind w:firstLine="720"/>
        <w:rPr>
          <w:color w:val="000000" w:themeColor="text1"/>
        </w:rPr>
      </w:pPr>
      <w:r w:rsidRPr="00C6517D">
        <w:rPr>
          <w:color w:val="000000" w:themeColor="text1"/>
        </w:rPr>
        <w:t xml:space="preserve">In conclusion, as digital technologies continue to permeate the business landscape, their integration </w:t>
      </w:r>
      <w:r w:rsidR="00824A04">
        <w:rPr>
          <w:color w:val="000000" w:themeColor="text1"/>
        </w:rPr>
        <w:t>must be strategically managed to harness their potential benefits while mitigating</w:t>
      </w:r>
      <w:r w:rsidRPr="00C6517D">
        <w:rPr>
          <w:color w:val="000000" w:themeColor="text1"/>
        </w:rPr>
        <w:t xml:space="preserve"> risks. This study contributes to the academic discourse on digital transformation and provides practical insights for organizations seeking to navigate these dynamics and complexity. </w:t>
      </w:r>
      <w:r w:rsidR="00824A04">
        <w:rPr>
          <w:color w:val="000000" w:themeColor="text1"/>
        </w:rPr>
        <w:t>Further research must</w:t>
      </w:r>
      <w:r w:rsidRPr="00C6517D">
        <w:rPr>
          <w:color w:val="000000" w:themeColor="text1"/>
        </w:rPr>
        <w:t xml:space="preserve"> continue to investigate the multifaceted aspect of digitalization and guide organizations in developing informed, effective strategies that foster an empowered, skilled, and adaptable workforce.</w:t>
      </w:r>
    </w:p>
    <w:p w14:paraId="718D9C70" w14:textId="1F4B7314" w:rsidR="00747BE3" w:rsidRPr="004301CA" w:rsidRDefault="00A5740E" w:rsidP="009224B0">
      <w:pPr>
        <w:spacing w:after="120"/>
        <w:jc w:val="center"/>
        <w:rPr>
          <w:b/>
          <w:bCs/>
          <w:color w:val="000000" w:themeColor="text1"/>
        </w:rPr>
      </w:pPr>
      <w:r>
        <w:rPr>
          <w:b/>
          <w:bCs/>
          <w:color w:val="000000" w:themeColor="text1"/>
        </w:rPr>
        <w:br w:type="page"/>
      </w:r>
      <w:r w:rsidR="004301CA" w:rsidRPr="004301CA">
        <w:rPr>
          <w:b/>
          <w:bCs/>
          <w:color w:val="000000" w:themeColor="text1"/>
        </w:rPr>
        <w:lastRenderedPageBreak/>
        <w:t>Reference</w:t>
      </w:r>
    </w:p>
    <w:p w14:paraId="1FB28EAC" w14:textId="77777777"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Alarussi, A. S., &amp; Gao, X. (2023). Determinants of profitability in Chinese companies. </w:t>
      </w:r>
      <w:r w:rsidRPr="00D8281D">
        <w:rPr>
          <w:rFonts w:ascii="Times New Roman" w:hAnsi="Times New Roman" w:cs="Times New Roman"/>
          <w:i/>
          <w:noProof/>
        </w:rPr>
        <w:t>International Journal of Emerging Markets</w:t>
      </w:r>
      <w:r w:rsidRPr="00D8281D">
        <w:rPr>
          <w:rFonts w:ascii="Times New Roman" w:hAnsi="Times New Roman" w:cs="Times New Roman"/>
          <w:noProof/>
        </w:rPr>
        <w:t>,</w:t>
      </w:r>
      <w:r w:rsidRPr="00D8281D">
        <w:rPr>
          <w:rFonts w:ascii="Times New Roman" w:hAnsi="Times New Roman" w:cs="Times New Roman"/>
          <w:i/>
          <w:noProof/>
        </w:rPr>
        <w:t xml:space="preserve"> 18</w:t>
      </w:r>
      <w:r w:rsidRPr="00D8281D">
        <w:rPr>
          <w:rFonts w:ascii="Times New Roman" w:hAnsi="Times New Roman" w:cs="Times New Roman"/>
          <w:noProof/>
        </w:rPr>
        <w:t xml:space="preserve">(10), 4232-4251. </w:t>
      </w:r>
    </w:p>
    <w:p w14:paraId="20182A56" w14:textId="647F59AB"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Balsmeier, B., &amp; Woerter, M. (2019). Is this time different? How </w:t>
      </w:r>
      <w:r w:rsidR="009869DA">
        <w:rPr>
          <w:rFonts w:ascii="Times New Roman" w:hAnsi="Times New Roman" w:cs="Times New Roman"/>
          <w:noProof/>
        </w:rPr>
        <w:t>digital transformation</w:t>
      </w:r>
      <w:r w:rsidRPr="00D8281D">
        <w:rPr>
          <w:rFonts w:ascii="Times New Roman" w:hAnsi="Times New Roman" w:cs="Times New Roman"/>
          <w:noProof/>
        </w:rPr>
        <w:t xml:space="preserve"> influences job creation and destruction. </w:t>
      </w:r>
      <w:r w:rsidRPr="00D8281D">
        <w:rPr>
          <w:rFonts w:ascii="Times New Roman" w:hAnsi="Times New Roman" w:cs="Times New Roman"/>
          <w:i/>
          <w:noProof/>
        </w:rPr>
        <w:t>Research policy</w:t>
      </w:r>
      <w:r w:rsidRPr="00D8281D">
        <w:rPr>
          <w:rFonts w:ascii="Times New Roman" w:hAnsi="Times New Roman" w:cs="Times New Roman"/>
          <w:noProof/>
        </w:rPr>
        <w:t>,</w:t>
      </w:r>
      <w:r w:rsidRPr="00D8281D">
        <w:rPr>
          <w:rFonts w:ascii="Times New Roman" w:hAnsi="Times New Roman" w:cs="Times New Roman"/>
          <w:i/>
          <w:noProof/>
        </w:rPr>
        <w:t xml:space="preserve"> 48</w:t>
      </w:r>
      <w:r w:rsidRPr="00D8281D">
        <w:rPr>
          <w:rFonts w:ascii="Times New Roman" w:hAnsi="Times New Roman" w:cs="Times New Roman"/>
          <w:noProof/>
        </w:rPr>
        <w:t xml:space="preserve">(8), 103765. </w:t>
      </w:r>
    </w:p>
    <w:p w14:paraId="5A1CF484" w14:textId="77777777"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Børing, P. (2020). Effect of firms’ age on their use of highly skilled workers. </w:t>
      </w:r>
      <w:r w:rsidRPr="00D8281D">
        <w:rPr>
          <w:rFonts w:ascii="Times New Roman" w:hAnsi="Times New Roman" w:cs="Times New Roman"/>
          <w:i/>
          <w:noProof/>
        </w:rPr>
        <w:t>Labour</w:t>
      </w:r>
      <w:r w:rsidRPr="00D8281D">
        <w:rPr>
          <w:rFonts w:ascii="Times New Roman" w:hAnsi="Times New Roman" w:cs="Times New Roman"/>
          <w:noProof/>
        </w:rPr>
        <w:t>,</w:t>
      </w:r>
      <w:r w:rsidRPr="00D8281D">
        <w:rPr>
          <w:rFonts w:ascii="Times New Roman" w:hAnsi="Times New Roman" w:cs="Times New Roman"/>
          <w:i/>
          <w:noProof/>
        </w:rPr>
        <w:t xml:space="preserve"> 34</w:t>
      </w:r>
      <w:r w:rsidRPr="00D8281D">
        <w:rPr>
          <w:rFonts w:ascii="Times New Roman" w:hAnsi="Times New Roman" w:cs="Times New Roman"/>
          <w:noProof/>
        </w:rPr>
        <w:t xml:space="preserve">(2), 137-153. </w:t>
      </w:r>
    </w:p>
    <w:p w14:paraId="23DD4C8A" w14:textId="77777777"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Casino, F., Dasaklis, T. K., &amp; Patsakis, C. (2019). A systematic literature review of blockchain-based applications: Current status, classification and open issues. </w:t>
      </w:r>
      <w:r w:rsidRPr="00D8281D">
        <w:rPr>
          <w:rFonts w:ascii="Times New Roman" w:hAnsi="Times New Roman" w:cs="Times New Roman"/>
          <w:i/>
          <w:noProof/>
        </w:rPr>
        <w:t>Telematics and informatics</w:t>
      </w:r>
      <w:r w:rsidRPr="00D8281D">
        <w:rPr>
          <w:rFonts w:ascii="Times New Roman" w:hAnsi="Times New Roman" w:cs="Times New Roman"/>
          <w:noProof/>
        </w:rPr>
        <w:t>,</w:t>
      </w:r>
      <w:r w:rsidRPr="00D8281D">
        <w:rPr>
          <w:rFonts w:ascii="Times New Roman" w:hAnsi="Times New Roman" w:cs="Times New Roman"/>
          <w:i/>
          <w:noProof/>
        </w:rPr>
        <w:t xml:space="preserve"> 36</w:t>
      </w:r>
      <w:r w:rsidRPr="00D8281D">
        <w:rPr>
          <w:rFonts w:ascii="Times New Roman" w:hAnsi="Times New Roman" w:cs="Times New Roman"/>
          <w:noProof/>
        </w:rPr>
        <w:t xml:space="preserve">, 55-81. </w:t>
      </w:r>
    </w:p>
    <w:p w14:paraId="7BCE02C6" w14:textId="0742C673"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Cette, G., Nevoux, S., &amp; Py, L. (2022). The impact of ICTs and </w:t>
      </w:r>
      <w:r w:rsidR="009869DA">
        <w:rPr>
          <w:rFonts w:ascii="Times New Roman" w:hAnsi="Times New Roman" w:cs="Times New Roman"/>
          <w:noProof/>
        </w:rPr>
        <w:t>digital transformation</w:t>
      </w:r>
      <w:r w:rsidRPr="00D8281D">
        <w:rPr>
          <w:rFonts w:ascii="Times New Roman" w:hAnsi="Times New Roman" w:cs="Times New Roman"/>
          <w:noProof/>
        </w:rPr>
        <w:t xml:space="preserve"> on productivity and labor share: evidence from French firms. </w:t>
      </w:r>
      <w:r w:rsidRPr="00D8281D">
        <w:rPr>
          <w:rFonts w:ascii="Times New Roman" w:hAnsi="Times New Roman" w:cs="Times New Roman"/>
          <w:i/>
          <w:noProof/>
        </w:rPr>
        <w:t>Economics of innovation and new technology</w:t>
      </w:r>
      <w:r w:rsidRPr="00D8281D">
        <w:rPr>
          <w:rFonts w:ascii="Times New Roman" w:hAnsi="Times New Roman" w:cs="Times New Roman"/>
          <w:noProof/>
        </w:rPr>
        <w:t>,</w:t>
      </w:r>
      <w:r w:rsidRPr="00D8281D">
        <w:rPr>
          <w:rFonts w:ascii="Times New Roman" w:hAnsi="Times New Roman" w:cs="Times New Roman"/>
          <w:i/>
          <w:noProof/>
        </w:rPr>
        <w:t xml:space="preserve"> 31</w:t>
      </w:r>
      <w:r w:rsidRPr="00D8281D">
        <w:rPr>
          <w:rFonts w:ascii="Times New Roman" w:hAnsi="Times New Roman" w:cs="Times New Roman"/>
          <w:noProof/>
        </w:rPr>
        <w:t xml:space="preserve">(8), 669-692. </w:t>
      </w:r>
    </w:p>
    <w:p w14:paraId="294D726C" w14:textId="77777777"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Chen, M., &amp; Decary, M. (2020). Artificial intelligence in healthcare: An essential guide for health leaders. Healthcare management forum, </w:t>
      </w:r>
    </w:p>
    <w:p w14:paraId="1B2B62E4" w14:textId="77777777"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Chen, T., Zhou, L., &amp; Lv, K. (2023). How Do Higher Educated Employees Affect Firms’ Investment Efficiency in China? </w:t>
      </w:r>
      <w:r w:rsidRPr="00D8281D">
        <w:rPr>
          <w:rFonts w:ascii="Times New Roman" w:hAnsi="Times New Roman" w:cs="Times New Roman"/>
          <w:i/>
          <w:noProof/>
        </w:rPr>
        <w:t>Emerging Markets Finance and Trade</w:t>
      </w:r>
      <w:r w:rsidRPr="00D8281D">
        <w:rPr>
          <w:rFonts w:ascii="Times New Roman" w:hAnsi="Times New Roman" w:cs="Times New Roman"/>
          <w:noProof/>
        </w:rPr>
        <w:t>,</w:t>
      </w:r>
      <w:r w:rsidRPr="00D8281D">
        <w:rPr>
          <w:rFonts w:ascii="Times New Roman" w:hAnsi="Times New Roman" w:cs="Times New Roman"/>
          <w:i/>
          <w:noProof/>
        </w:rPr>
        <w:t xml:space="preserve"> 59</w:t>
      </w:r>
      <w:r w:rsidRPr="00D8281D">
        <w:rPr>
          <w:rFonts w:ascii="Times New Roman" w:hAnsi="Times New Roman" w:cs="Times New Roman"/>
          <w:noProof/>
        </w:rPr>
        <w:t xml:space="preserve">(11), 3610-3635. </w:t>
      </w:r>
    </w:p>
    <w:p w14:paraId="6A7D8D82" w14:textId="2006188C"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Cirillo, V., Evangelista, R., Guarascio, D., &amp; Sostero, M. (2021). </w:t>
      </w:r>
      <w:r w:rsidR="009869DA">
        <w:rPr>
          <w:rFonts w:ascii="Times New Roman" w:hAnsi="Times New Roman" w:cs="Times New Roman"/>
          <w:noProof/>
        </w:rPr>
        <w:t>Digital transformation</w:t>
      </w:r>
      <w:r w:rsidRPr="00D8281D">
        <w:rPr>
          <w:rFonts w:ascii="Times New Roman" w:hAnsi="Times New Roman" w:cs="Times New Roman"/>
          <w:noProof/>
        </w:rPr>
        <w:t xml:space="preserve">, routineness and employment: An exploration on Italian task-based data. </w:t>
      </w:r>
      <w:r w:rsidRPr="00D8281D">
        <w:rPr>
          <w:rFonts w:ascii="Times New Roman" w:hAnsi="Times New Roman" w:cs="Times New Roman"/>
          <w:i/>
          <w:noProof/>
        </w:rPr>
        <w:t>Research policy</w:t>
      </w:r>
      <w:r w:rsidRPr="00D8281D">
        <w:rPr>
          <w:rFonts w:ascii="Times New Roman" w:hAnsi="Times New Roman" w:cs="Times New Roman"/>
          <w:noProof/>
        </w:rPr>
        <w:t>,</w:t>
      </w:r>
      <w:r w:rsidRPr="00D8281D">
        <w:rPr>
          <w:rFonts w:ascii="Times New Roman" w:hAnsi="Times New Roman" w:cs="Times New Roman"/>
          <w:i/>
          <w:noProof/>
        </w:rPr>
        <w:t xml:space="preserve"> 50</w:t>
      </w:r>
      <w:r w:rsidRPr="00D8281D">
        <w:rPr>
          <w:rFonts w:ascii="Times New Roman" w:hAnsi="Times New Roman" w:cs="Times New Roman"/>
          <w:noProof/>
        </w:rPr>
        <w:t xml:space="preserve">(7), 104079. </w:t>
      </w:r>
    </w:p>
    <w:p w14:paraId="6DAA9568" w14:textId="77777777"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Dicuonzo, G., Donofrio, F., Fusco, A., &amp; Shini, M. (2023). Healthcare system: Moving forward with artificial intelligence. </w:t>
      </w:r>
      <w:r w:rsidRPr="00D8281D">
        <w:rPr>
          <w:rFonts w:ascii="Times New Roman" w:hAnsi="Times New Roman" w:cs="Times New Roman"/>
          <w:i/>
          <w:noProof/>
        </w:rPr>
        <w:t>Technovation</w:t>
      </w:r>
      <w:r w:rsidRPr="00D8281D">
        <w:rPr>
          <w:rFonts w:ascii="Times New Roman" w:hAnsi="Times New Roman" w:cs="Times New Roman"/>
          <w:noProof/>
        </w:rPr>
        <w:t>,</w:t>
      </w:r>
      <w:r w:rsidRPr="00D8281D">
        <w:rPr>
          <w:rFonts w:ascii="Times New Roman" w:hAnsi="Times New Roman" w:cs="Times New Roman"/>
          <w:i/>
          <w:noProof/>
        </w:rPr>
        <w:t xml:space="preserve"> 120</w:t>
      </w:r>
      <w:r w:rsidRPr="00D8281D">
        <w:rPr>
          <w:rFonts w:ascii="Times New Roman" w:hAnsi="Times New Roman" w:cs="Times New Roman"/>
          <w:noProof/>
        </w:rPr>
        <w:t xml:space="preserve">, 102510. </w:t>
      </w:r>
    </w:p>
    <w:p w14:paraId="4432A72C" w14:textId="77777777"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Gillani, F., Chatha, K. A., Jajja, M. S. S., &amp; Farooq, S. (2020). Implementation of digital manufacturing technologies: Antecedents and consequences. </w:t>
      </w:r>
      <w:r w:rsidRPr="00D8281D">
        <w:rPr>
          <w:rFonts w:ascii="Times New Roman" w:hAnsi="Times New Roman" w:cs="Times New Roman"/>
          <w:i/>
          <w:noProof/>
        </w:rPr>
        <w:t>International Journal of Production Economics</w:t>
      </w:r>
      <w:r w:rsidRPr="00D8281D">
        <w:rPr>
          <w:rFonts w:ascii="Times New Roman" w:hAnsi="Times New Roman" w:cs="Times New Roman"/>
          <w:noProof/>
        </w:rPr>
        <w:t>,</w:t>
      </w:r>
      <w:r w:rsidRPr="00D8281D">
        <w:rPr>
          <w:rFonts w:ascii="Times New Roman" w:hAnsi="Times New Roman" w:cs="Times New Roman"/>
          <w:i/>
          <w:noProof/>
        </w:rPr>
        <w:t xml:space="preserve"> 229</w:t>
      </w:r>
      <w:r w:rsidRPr="00D8281D">
        <w:rPr>
          <w:rFonts w:ascii="Times New Roman" w:hAnsi="Times New Roman" w:cs="Times New Roman"/>
          <w:noProof/>
        </w:rPr>
        <w:t xml:space="preserve">, 107748. </w:t>
      </w:r>
    </w:p>
    <w:p w14:paraId="66442E81" w14:textId="03D5B578"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Gjellebæk, C., Svensson, A., Bjørkquist, C., Fladeby, N., &amp; Grundén, K. (2020). Management challenges for future </w:t>
      </w:r>
      <w:r w:rsidR="009869DA">
        <w:rPr>
          <w:rFonts w:ascii="Times New Roman" w:hAnsi="Times New Roman" w:cs="Times New Roman"/>
          <w:noProof/>
        </w:rPr>
        <w:t>digital transformation</w:t>
      </w:r>
      <w:r w:rsidRPr="00D8281D">
        <w:rPr>
          <w:rFonts w:ascii="Times New Roman" w:hAnsi="Times New Roman" w:cs="Times New Roman"/>
          <w:noProof/>
        </w:rPr>
        <w:t xml:space="preserve"> of healthcare services. </w:t>
      </w:r>
      <w:r w:rsidRPr="00D8281D">
        <w:rPr>
          <w:rFonts w:ascii="Times New Roman" w:hAnsi="Times New Roman" w:cs="Times New Roman"/>
          <w:i/>
          <w:noProof/>
        </w:rPr>
        <w:t>Futures</w:t>
      </w:r>
      <w:r w:rsidRPr="00D8281D">
        <w:rPr>
          <w:rFonts w:ascii="Times New Roman" w:hAnsi="Times New Roman" w:cs="Times New Roman"/>
          <w:noProof/>
        </w:rPr>
        <w:t>,</w:t>
      </w:r>
      <w:r w:rsidRPr="00D8281D">
        <w:rPr>
          <w:rFonts w:ascii="Times New Roman" w:hAnsi="Times New Roman" w:cs="Times New Roman"/>
          <w:i/>
          <w:noProof/>
        </w:rPr>
        <w:t xml:space="preserve"> 124</w:t>
      </w:r>
      <w:r w:rsidRPr="00D8281D">
        <w:rPr>
          <w:rFonts w:ascii="Times New Roman" w:hAnsi="Times New Roman" w:cs="Times New Roman"/>
          <w:noProof/>
        </w:rPr>
        <w:t xml:space="preserve">, 102636. </w:t>
      </w:r>
    </w:p>
    <w:p w14:paraId="60B8FDCD" w14:textId="568D005E"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Gómez-Bengoechea, G., &amp; Jung, J. (2024). The Matthew effect: Evidence on firms’ </w:t>
      </w:r>
      <w:r w:rsidR="009869DA">
        <w:rPr>
          <w:rFonts w:ascii="Times New Roman" w:hAnsi="Times New Roman" w:cs="Times New Roman"/>
          <w:noProof/>
        </w:rPr>
        <w:t>digital transformation</w:t>
      </w:r>
      <w:r w:rsidRPr="00D8281D">
        <w:rPr>
          <w:rFonts w:ascii="Times New Roman" w:hAnsi="Times New Roman" w:cs="Times New Roman"/>
          <w:noProof/>
        </w:rPr>
        <w:t xml:space="preserve"> distributional effects. </w:t>
      </w:r>
      <w:r w:rsidRPr="00D8281D">
        <w:rPr>
          <w:rFonts w:ascii="Times New Roman" w:hAnsi="Times New Roman" w:cs="Times New Roman"/>
          <w:i/>
          <w:noProof/>
        </w:rPr>
        <w:t>Technology in Society</w:t>
      </w:r>
      <w:r w:rsidRPr="00D8281D">
        <w:rPr>
          <w:rFonts w:ascii="Times New Roman" w:hAnsi="Times New Roman" w:cs="Times New Roman"/>
          <w:noProof/>
        </w:rPr>
        <w:t>,</w:t>
      </w:r>
      <w:r w:rsidRPr="00D8281D">
        <w:rPr>
          <w:rFonts w:ascii="Times New Roman" w:hAnsi="Times New Roman" w:cs="Times New Roman"/>
          <w:i/>
          <w:noProof/>
        </w:rPr>
        <w:t xml:space="preserve"> 76</w:t>
      </w:r>
      <w:r w:rsidRPr="00D8281D">
        <w:rPr>
          <w:rFonts w:ascii="Times New Roman" w:hAnsi="Times New Roman" w:cs="Times New Roman"/>
          <w:noProof/>
        </w:rPr>
        <w:t xml:space="preserve">, 102423. </w:t>
      </w:r>
    </w:p>
    <w:p w14:paraId="33ED93BD" w14:textId="01A908E5"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Gopalan, S., Reddy, K., &amp; Sasidharan, S. (2022). Does </w:t>
      </w:r>
      <w:r w:rsidR="009869DA">
        <w:rPr>
          <w:rFonts w:ascii="Times New Roman" w:hAnsi="Times New Roman" w:cs="Times New Roman"/>
          <w:noProof/>
        </w:rPr>
        <w:t>digital transformation</w:t>
      </w:r>
      <w:r w:rsidRPr="00D8281D">
        <w:rPr>
          <w:rFonts w:ascii="Times New Roman" w:hAnsi="Times New Roman" w:cs="Times New Roman"/>
          <w:noProof/>
        </w:rPr>
        <w:t xml:space="preserve"> spur global value chain participation? Firm-level evidence from emerging markets. </w:t>
      </w:r>
      <w:r w:rsidRPr="00D8281D">
        <w:rPr>
          <w:rFonts w:ascii="Times New Roman" w:hAnsi="Times New Roman" w:cs="Times New Roman"/>
          <w:i/>
          <w:noProof/>
        </w:rPr>
        <w:t>Information Economics and Policy</w:t>
      </w:r>
      <w:r w:rsidRPr="00D8281D">
        <w:rPr>
          <w:rFonts w:ascii="Times New Roman" w:hAnsi="Times New Roman" w:cs="Times New Roman"/>
          <w:noProof/>
        </w:rPr>
        <w:t>,</w:t>
      </w:r>
      <w:r w:rsidRPr="00D8281D">
        <w:rPr>
          <w:rFonts w:ascii="Times New Roman" w:hAnsi="Times New Roman" w:cs="Times New Roman"/>
          <w:i/>
          <w:noProof/>
        </w:rPr>
        <w:t xml:space="preserve"> 59</w:t>
      </w:r>
      <w:r w:rsidRPr="00D8281D">
        <w:rPr>
          <w:rFonts w:ascii="Times New Roman" w:hAnsi="Times New Roman" w:cs="Times New Roman"/>
          <w:noProof/>
        </w:rPr>
        <w:t xml:space="preserve">, 100972. </w:t>
      </w:r>
    </w:p>
    <w:p w14:paraId="3C499393" w14:textId="07F35C78"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Guo, X., Li, M., Wang, Y., &amp; Mardani, A. (2023). Does digital transformation improve the firm’s performance? From the perspective of </w:t>
      </w:r>
      <w:r w:rsidR="009869DA">
        <w:rPr>
          <w:rFonts w:ascii="Times New Roman" w:hAnsi="Times New Roman" w:cs="Times New Roman"/>
          <w:noProof/>
        </w:rPr>
        <w:t>digital transformation</w:t>
      </w:r>
      <w:r w:rsidRPr="00D8281D">
        <w:rPr>
          <w:rFonts w:ascii="Times New Roman" w:hAnsi="Times New Roman" w:cs="Times New Roman"/>
          <w:noProof/>
        </w:rPr>
        <w:t xml:space="preserve"> paradox and managerial myopia. </w:t>
      </w:r>
      <w:r w:rsidRPr="00D8281D">
        <w:rPr>
          <w:rFonts w:ascii="Times New Roman" w:hAnsi="Times New Roman" w:cs="Times New Roman"/>
          <w:i/>
          <w:noProof/>
        </w:rPr>
        <w:t>Journal of Business Research</w:t>
      </w:r>
      <w:r w:rsidRPr="00D8281D">
        <w:rPr>
          <w:rFonts w:ascii="Times New Roman" w:hAnsi="Times New Roman" w:cs="Times New Roman"/>
          <w:noProof/>
        </w:rPr>
        <w:t>,</w:t>
      </w:r>
      <w:r w:rsidRPr="00D8281D">
        <w:rPr>
          <w:rFonts w:ascii="Times New Roman" w:hAnsi="Times New Roman" w:cs="Times New Roman"/>
          <w:i/>
          <w:noProof/>
        </w:rPr>
        <w:t xml:space="preserve"> 163</w:t>
      </w:r>
      <w:r w:rsidRPr="00D8281D">
        <w:rPr>
          <w:rFonts w:ascii="Times New Roman" w:hAnsi="Times New Roman" w:cs="Times New Roman"/>
          <w:noProof/>
        </w:rPr>
        <w:t xml:space="preserve">, 113868. </w:t>
      </w:r>
    </w:p>
    <w:p w14:paraId="6DAF470A" w14:textId="0F903A54"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Hao, X., Li, Y., Ren, S., Wu, H., &amp; Hao, Y. (2023). The role of </w:t>
      </w:r>
      <w:r w:rsidR="009869DA">
        <w:rPr>
          <w:rFonts w:ascii="Times New Roman" w:hAnsi="Times New Roman" w:cs="Times New Roman"/>
          <w:noProof/>
        </w:rPr>
        <w:t>digital transformation</w:t>
      </w:r>
      <w:r w:rsidRPr="00D8281D">
        <w:rPr>
          <w:rFonts w:ascii="Times New Roman" w:hAnsi="Times New Roman" w:cs="Times New Roman"/>
          <w:noProof/>
        </w:rPr>
        <w:t xml:space="preserve"> on green economic growth: Does industrial structure optimization and green innovation matter? </w:t>
      </w:r>
      <w:r w:rsidRPr="00D8281D">
        <w:rPr>
          <w:rFonts w:ascii="Times New Roman" w:hAnsi="Times New Roman" w:cs="Times New Roman"/>
          <w:i/>
          <w:noProof/>
        </w:rPr>
        <w:t>Journal of environmental management</w:t>
      </w:r>
      <w:r w:rsidRPr="00D8281D">
        <w:rPr>
          <w:rFonts w:ascii="Times New Roman" w:hAnsi="Times New Roman" w:cs="Times New Roman"/>
          <w:noProof/>
        </w:rPr>
        <w:t>,</w:t>
      </w:r>
      <w:r w:rsidRPr="00D8281D">
        <w:rPr>
          <w:rFonts w:ascii="Times New Roman" w:hAnsi="Times New Roman" w:cs="Times New Roman"/>
          <w:i/>
          <w:noProof/>
        </w:rPr>
        <w:t xml:space="preserve"> 325</w:t>
      </w:r>
      <w:r w:rsidRPr="00D8281D">
        <w:rPr>
          <w:rFonts w:ascii="Times New Roman" w:hAnsi="Times New Roman" w:cs="Times New Roman"/>
          <w:noProof/>
        </w:rPr>
        <w:t xml:space="preserve">, 116504. </w:t>
      </w:r>
    </w:p>
    <w:p w14:paraId="78454643" w14:textId="77777777"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lastRenderedPageBreak/>
        <w:t xml:space="preserve">Kim, S.-H., &amp; Song, H. (2022). How digital transformation can improve hospitals’ operational decisions. </w:t>
      </w:r>
      <w:r w:rsidRPr="00D8281D">
        <w:rPr>
          <w:rFonts w:ascii="Times New Roman" w:hAnsi="Times New Roman" w:cs="Times New Roman"/>
          <w:i/>
          <w:noProof/>
        </w:rPr>
        <w:t>Harvard Business Review [Internet]</w:t>
      </w:r>
      <w:r w:rsidRPr="00D8281D">
        <w:rPr>
          <w:rFonts w:ascii="Times New Roman" w:hAnsi="Times New Roman" w:cs="Times New Roman"/>
          <w:noProof/>
        </w:rPr>
        <w:t xml:space="preserve">. </w:t>
      </w:r>
    </w:p>
    <w:p w14:paraId="14A56D4E" w14:textId="77777777"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Kong, D., Zhang, B., &amp; Zhang, J. (2022). Higher education and corporate innovation. </w:t>
      </w:r>
      <w:r w:rsidRPr="00D8281D">
        <w:rPr>
          <w:rFonts w:ascii="Times New Roman" w:hAnsi="Times New Roman" w:cs="Times New Roman"/>
          <w:i/>
          <w:noProof/>
        </w:rPr>
        <w:t>Journal of Corporate Finance</w:t>
      </w:r>
      <w:r w:rsidRPr="00D8281D">
        <w:rPr>
          <w:rFonts w:ascii="Times New Roman" w:hAnsi="Times New Roman" w:cs="Times New Roman"/>
          <w:noProof/>
        </w:rPr>
        <w:t>,</w:t>
      </w:r>
      <w:r w:rsidRPr="00D8281D">
        <w:rPr>
          <w:rFonts w:ascii="Times New Roman" w:hAnsi="Times New Roman" w:cs="Times New Roman"/>
          <w:i/>
          <w:noProof/>
        </w:rPr>
        <w:t xml:space="preserve"> 72</w:t>
      </w:r>
      <w:r w:rsidRPr="00D8281D">
        <w:rPr>
          <w:rFonts w:ascii="Times New Roman" w:hAnsi="Times New Roman" w:cs="Times New Roman"/>
          <w:noProof/>
        </w:rPr>
        <w:t xml:space="preserve">, 102165. </w:t>
      </w:r>
    </w:p>
    <w:p w14:paraId="295F11A5" w14:textId="77777777"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Kraus, S., Schiavone, F., Pluzhnikova, A., &amp; Invernizzi, A. C. (2021). Digital transformation in healthcare: Analyzing the current state-of-research. </w:t>
      </w:r>
      <w:r w:rsidRPr="00D8281D">
        <w:rPr>
          <w:rFonts w:ascii="Times New Roman" w:hAnsi="Times New Roman" w:cs="Times New Roman"/>
          <w:i/>
          <w:noProof/>
        </w:rPr>
        <w:t>Journal of Business Research</w:t>
      </w:r>
      <w:r w:rsidRPr="00D8281D">
        <w:rPr>
          <w:rFonts w:ascii="Times New Roman" w:hAnsi="Times New Roman" w:cs="Times New Roman"/>
          <w:noProof/>
        </w:rPr>
        <w:t>,</w:t>
      </w:r>
      <w:r w:rsidRPr="00D8281D">
        <w:rPr>
          <w:rFonts w:ascii="Times New Roman" w:hAnsi="Times New Roman" w:cs="Times New Roman"/>
          <w:i/>
          <w:noProof/>
        </w:rPr>
        <w:t xml:space="preserve"> 123</w:t>
      </w:r>
      <w:r w:rsidRPr="00D8281D">
        <w:rPr>
          <w:rFonts w:ascii="Times New Roman" w:hAnsi="Times New Roman" w:cs="Times New Roman"/>
          <w:noProof/>
        </w:rPr>
        <w:t xml:space="preserve">, 557-567. </w:t>
      </w:r>
    </w:p>
    <w:p w14:paraId="3F34A548" w14:textId="77777777"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Li, P., Bastone, A., Mohamad, T. A., &amp; Schiavone, F. (2023). How does artificial intelligence impact human resources performance. evidence from a healthcare institution in the United Arab Emirates. </w:t>
      </w:r>
      <w:r w:rsidRPr="00D8281D">
        <w:rPr>
          <w:rFonts w:ascii="Times New Roman" w:hAnsi="Times New Roman" w:cs="Times New Roman"/>
          <w:i/>
          <w:noProof/>
        </w:rPr>
        <w:t>Journal of Innovation &amp; Knowledge</w:t>
      </w:r>
      <w:r w:rsidRPr="00D8281D">
        <w:rPr>
          <w:rFonts w:ascii="Times New Roman" w:hAnsi="Times New Roman" w:cs="Times New Roman"/>
          <w:noProof/>
        </w:rPr>
        <w:t>,</w:t>
      </w:r>
      <w:r w:rsidRPr="00D8281D">
        <w:rPr>
          <w:rFonts w:ascii="Times New Roman" w:hAnsi="Times New Roman" w:cs="Times New Roman"/>
          <w:i/>
          <w:noProof/>
        </w:rPr>
        <w:t xml:space="preserve"> 8</w:t>
      </w:r>
      <w:r w:rsidRPr="00D8281D">
        <w:rPr>
          <w:rFonts w:ascii="Times New Roman" w:hAnsi="Times New Roman" w:cs="Times New Roman"/>
          <w:noProof/>
        </w:rPr>
        <w:t xml:space="preserve">(2), 100340. </w:t>
      </w:r>
    </w:p>
    <w:p w14:paraId="61B599CA" w14:textId="77777777"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Li, Q., Lourie, B., Nekrasov, A., &amp; Shevlin, T. (2022). Employee turnover and firm performance: Large-sample archival evidence. </w:t>
      </w:r>
      <w:r w:rsidRPr="00D8281D">
        <w:rPr>
          <w:rFonts w:ascii="Times New Roman" w:hAnsi="Times New Roman" w:cs="Times New Roman"/>
          <w:i/>
          <w:noProof/>
        </w:rPr>
        <w:t>Management Science</w:t>
      </w:r>
      <w:r w:rsidRPr="00D8281D">
        <w:rPr>
          <w:rFonts w:ascii="Times New Roman" w:hAnsi="Times New Roman" w:cs="Times New Roman"/>
          <w:noProof/>
        </w:rPr>
        <w:t>,</w:t>
      </w:r>
      <w:r w:rsidRPr="00D8281D">
        <w:rPr>
          <w:rFonts w:ascii="Times New Roman" w:hAnsi="Times New Roman" w:cs="Times New Roman"/>
          <w:i/>
          <w:noProof/>
        </w:rPr>
        <w:t xml:space="preserve"> 68</w:t>
      </w:r>
      <w:r w:rsidRPr="00D8281D">
        <w:rPr>
          <w:rFonts w:ascii="Times New Roman" w:hAnsi="Times New Roman" w:cs="Times New Roman"/>
          <w:noProof/>
        </w:rPr>
        <w:t xml:space="preserve">(8), 5667-5683. </w:t>
      </w:r>
    </w:p>
    <w:p w14:paraId="0ED9C409" w14:textId="77777777"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Li, W., Yang, X., &amp; Yin, X. (2024). Digital transformation and labor upgrading. </w:t>
      </w:r>
      <w:r w:rsidRPr="00D8281D">
        <w:rPr>
          <w:rFonts w:ascii="Times New Roman" w:hAnsi="Times New Roman" w:cs="Times New Roman"/>
          <w:i/>
          <w:noProof/>
        </w:rPr>
        <w:t>Pacific-Basin Finance Journal</w:t>
      </w:r>
      <w:r w:rsidRPr="00D8281D">
        <w:rPr>
          <w:rFonts w:ascii="Times New Roman" w:hAnsi="Times New Roman" w:cs="Times New Roman"/>
          <w:noProof/>
        </w:rPr>
        <w:t>,</w:t>
      </w:r>
      <w:r w:rsidRPr="00D8281D">
        <w:rPr>
          <w:rFonts w:ascii="Times New Roman" w:hAnsi="Times New Roman" w:cs="Times New Roman"/>
          <w:i/>
          <w:noProof/>
        </w:rPr>
        <w:t xml:space="preserve"> 83</w:t>
      </w:r>
      <w:r w:rsidRPr="00D8281D">
        <w:rPr>
          <w:rFonts w:ascii="Times New Roman" w:hAnsi="Times New Roman" w:cs="Times New Roman"/>
          <w:noProof/>
        </w:rPr>
        <w:t xml:space="preserve">, 102280. </w:t>
      </w:r>
    </w:p>
    <w:p w14:paraId="53424517" w14:textId="2CAF97CD"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Naamati-Schneider, L. (2023). The effect of </w:t>
      </w:r>
      <w:r w:rsidR="009869DA">
        <w:rPr>
          <w:rFonts w:ascii="Times New Roman" w:hAnsi="Times New Roman" w:cs="Times New Roman"/>
          <w:noProof/>
        </w:rPr>
        <w:t>digital transformation</w:t>
      </w:r>
      <w:r w:rsidRPr="00D8281D">
        <w:rPr>
          <w:rFonts w:ascii="Times New Roman" w:hAnsi="Times New Roman" w:cs="Times New Roman"/>
          <w:noProof/>
        </w:rPr>
        <w:t xml:space="preserve"> on service orientation and service perception among Israeli healthcare professionals: A qualitative study. </w:t>
      </w:r>
      <w:r w:rsidRPr="00D8281D">
        <w:rPr>
          <w:rFonts w:ascii="Times New Roman" w:hAnsi="Times New Roman" w:cs="Times New Roman"/>
          <w:i/>
          <w:noProof/>
        </w:rPr>
        <w:t>Digital Health</w:t>
      </w:r>
      <w:r w:rsidRPr="00D8281D">
        <w:rPr>
          <w:rFonts w:ascii="Times New Roman" w:hAnsi="Times New Roman" w:cs="Times New Roman"/>
          <w:noProof/>
        </w:rPr>
        <w:t>,</w:t>
      </w:r>
      <w:r w:rsidRPr="00D8281D">
        <w:rPr>
          <w:rFonts w:ascii="Times New Roman" w:hAnsi="Times New Roman" w:cs="Times New Roman"/>
          <w:i/>
          <w:noProof/>
        </w:rPr>
        <w:t xml:space="preserve"> 9</w:t>
      </w:r>
      <w:r w:rsidRPr="00D8281D">
        <w:rPr>
          <w:rFonts w:ascii="Times New Roman" w:hAnsi="Times New Roman" w:cs="Times New Roman"/>
          <w:noProof/>
        </w:rPr>
        <w:t xml:space="preserve">, 20552076231191892. </w:t>
      </w:r>
    </w:p>
    <w:p w14:paraId="3061698F" w14:textId="77777777"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Newman , D. (2023 June). </w:t>
      </w:r>
      <w:r w:rsidRPr="00D8281D">
        <w:rPr>
          <w:rFonts w:ascii="Times New Roman" w:hAnsi="Times New Roman" w:cs="Times New Roman"/>
          <w:i/>
          <w:noProof/>
        </w:rPr>
        <w:t>Top 10 Digital Transformation Trends For 2023</w:t>
      </w:r>
      <w:r w:rsidRPr="00D8281D">
        <w:rPr>
          <w:rFonts w:ascii="Times New Roman" w:hAnsi="Times New Roman" w:cs="Times New Roman"/>
          <w:noProof/>
        </w:rPr>
        <w:t>. Forbes. Retrieved January 31 from https://www.forbes.com/sites/danielnewman/2022/10/10/top-10-digital-transformation-trends-for-2023/?sh=215299c95a4d</w:t>
      </w:r>
    </w:p>
    <w:p w14:paraId="241B6380" w14:textId="27C9CD1D"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Palumbo, R., &amp; Cavallone, M. (2024). Is work </w:t>
      </w:r>
      <w:r w:rsidR="009869DA">
        <w:rPr>
          <w:rFonts w:ascii="Times New Roman" w:hAnsi="Times New Roman" w:cs="Times New Roman"/>
          <w:noProof/>
        </w:rPr>
        <w:t>digital transformation</w:t>
      </w:r>
      <w:r w:rsidRPr="00D8281D">
        <w:rPr>
          <w:rFonts w:ascii="Times New Roman" w:hAnsi="Times New Roman" w:cs="Times New Roman"/>
          <w:noProof/>
        </w:rPr>
        <w:t xml:space="preserve"> without risk? Unveiling the psycho-social hazards of </w:t>
      </w:r>
      <w:r w:rsidR="009869DA">
        <w:rPr>
          <w:rFonts w:ascii="Times New Roman" w:hAnsi="Times New Roman" w:cs="Times New Roman"/>
          <w:noProof/>
        </w:rPr>
        <w:t>digital transformation</w:t>
      </w:r>
      <w:r w:rsidRPr="00D8281D">
        <w:rPr>
          <w:rFonts w:ascii="Times New Roman" w:hAnsi="Times New Roman" w:cs="Times New Roman"/>
          <w:noProof/>
        </w:rPr>
        <w:t xml:space="preserve"> in the education and healthcare workplace. </w:t>
      </w:r>
      <w:r w:rsidRPr="00D8281D">
        <w:rPr>
          <w:rFonts w:ascii="Times New Roman" w:hAnsi="Times New Roman" w:cs="Times New Roman"/>
          <w:i/>
          <w:noProof/>
        </w:rPr>
        <w:t>Technology Analysis &amp; Strategic Management</w:t>
      </w:r>
      <w:r w:rsidRPr="00D8281D">
        <w:rPr>
          <w:rFonts w:ascii="Times New Roman" w:hAnsi="Times New Roman" w:cs="Times New Roman"/>
          <w:noProof/>
        </w:rPr>
        <w:t>,</w:t>
      </w:r>
      <w:r w:rsidRPr="00D8281D">
        <w:rPr>
          <w:rFonts w:ascii="Times New Roman" w:hAnsi="Times New Roman" w:cs="Times New Roman"/>
          <w:i/>
          <w:noProof/>
        </w:rPr>
        <w:t xml:space="preserve"> 36</w:t>
      </w:r>
      <w:r w:rsidRPr="00D8281D">
        <w:rPr>
          <w:rFonts w:ascii="Times New Roman" w:hAnsi="Times New Roman" w:cs="Times New Roman"/>
          <w:noProof/>
        </w:rPr>
        <w:t xml:space="preserve">(6), 1136-1149. </w:t>
      </w:r>
    </w:p>
    <w:p w14:paraId="49C4E317" w14:textId="77777777"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United_Nations. (2023). </w:t>
      </w:r>
      <w:r w:rsidRPr="00D8281D">
        <w:rPr>
          <w:rFonts w:ascii="Times New Roman" w:hAnsi="Times New Roman" w:cs="Times New Roman"/>
          <w:i/>
          <w:noProof/>
        </w:rPr>
        <w:t>Youth</w:t>
      </w:r>
      <w:r w:rsidRPr="00D8281D">
        <w:rPr>
          <w:rFonts w:ascii="Times New Roman" w:hAnsi="Times New Roman" w:cs="Times New Roman"/>
          <w:noProof/>
        </w:rPr>
        <w:t xml:space="preserve">. https://www.un.org/en/global-issues/youth </w:t>
      </w:r>
    </w:p>
    <w:p w14:paraId="2148CF09" w14:textId="283E4E52" w:rsidR="00A65E60" w:rsidRPr="00D8281D" w:rsidRDefault="00A65E60" w:rsidP="00A65E60">
      <w:pPr>
        <w:pStyle w:val="EndNoteBibliography"/>
        <w:spacing w:after="120"/>
        <w:ind w:left="720" w:hanging="720"/>
        <w:rPr>
          <w:rFonts w:ascii="Times New Roman" w:hAnsi="Times New Roman" w:cs="Times New Roman"/>
          <w:noProof/>
        </w:rPr>
      </w:pPr>
      <w:r w:rsidRPr="00D8281D">
        <w:rPr>
          <w:rFonts w:ascii="Times New Roman" w:hAnsi="Times New Roman" w:cs="Times New Roman"/>
          <w:noProof/>
        </w:rPr>
        <w:t xml:space="preserve">Zeng, H., Ran, H., Zhou, Q., Jin, Y., &amp; Cheng, X. (2022). The financial effect of firm </w:t>
      </w:r>
      <w:r w:rsidR="009869DA">
        <w:rPr>
          <w:rFonts w:ascii="Times New Roman" w:hAnsi="Times New Roman" w:cs="Times New Roman"/>
          <w:noProof/>
        </w:rPr>
        <w:t>digital transformation</w:t>
      </w:r>
      <w:r w:rsidRPr="00D8281D">
        <w:rPr>
          <w:rFonts w:ascii="Times New Roman" w:hAnsi="Times New Roman" w:cs="Times New Roman"/>
          <w:noProof/>
        </w:rPr>
        <w:t xml:space="preserve">: Evidence from China. </w:t>
      </w:r>
      <w:r w:rsidRPr="00D8281D">
        <w:rPr>
          <w:rFonts w:ascii="Times New Roman" w:hAnsi="Times New Roman" w:cs="Times New Roman"/>
          <w:i/>
          <w:noProof/>
        </w:rPr>
        <w:t>Technological Forecasting and Social Change</w:t>
      </w:r>
      <w:r w:rsidRPr="00D8281D">
        <w:rPr>
          <w:rFonts w:ascii="Times New Roman" w:hAnsi="Times New Roman" w:cs="Times New Roman"/>
          <w:noProof/>
        </w:rPr>
        <w:t>,</w:t>
      </w:r>
      <w:r w:rsidRPr="00D8281D">
        <w:rPr>
          <w:rFonts w:ascii="Times New Roman" w:hAnsi="Times New Roman" w:cs="Times New Roman"/>
          <w:i/>
          <w:noProof/>
        </w:rPr>
        <w:t xml:space="preserve"> 183</w:t>
      </w:r>
      <w:r w:rsidRPr="00D8281D">
        <w:rPr>
          <w:rFonts w:ascii="Times New Roman" w:hAnsi="Times New Roman" w:cs="Times New Roman"/>
          <w:noProof/>
        </w:rPr>
        <w:t xml:space="preserve">, 121951. </w:t>
      </w:r>
    </w:p>
    <w:p w14:paraId="6D9F241A" w14:textId="77777777" w:rsidR="000E3A94" w:rsidRDefault="000E3A94" w:rsidP="009224B0">
      <w:pPr>
        <w:pStyle w:val="Heading1"/>
        <w:spacing w:after="120"/>
        <w:jc w:val="left"/>
        <w:rPr>
          <w:b/>
        </w:rPr>
      </w:pPr>
    </w:p>
    <w:p w14:paraId="341C0200" w14:textId="77777777" w:rsidR="000E3A94" w:rsidRPr="000E3A94" w:rsidRDefault="000E3A94" w:rsidP="000E3A94">
      <w:pPr>
        <w:pStyle w:val="BodyText"/>
        <w:sectPr w:rsidR="000E3A94" w:rsidRPr="000E3A94" w:rsidSect="009D32D6">
          <w:pgSz w:w="12240" w:h="15840" w:code="1"/>
          <w:pgMar w:top="1440" w:right="1440" w:bottom="1440" w:left="1440" w:header="720" w:footer="720" w:gutter="0"/>
          <w:cols w:space="720"/>
          <w:docGrid w:linePitch="360"/>
        </w:sectPr>
      </w:pPr>
    </w:p>
    <w:p w14:paraId="18623D2C" w14:textId="0BD17331" w:rsidR="000E3A94" w:rsidRDefault="000E3A94" w:rsidP="000E3A94">
      <w:pPr>
        <w:pStyle w:val="Heading1"/>
        <w:spacing w:after="120"/>
        <w:rPr>
          <w:b/>
        </w:rPr>
      </w:pPr>
      <w:r>
        <w:rPr>
          <w:b/>
        </w:rPr>
        <w:lastRenderedPageBreak/>
        <w:t>Tables</w:t>
      </w:r>
    </w:p>
    <w:p w14:paraId="798CFE9B" w14:textId="77777777" w:rsidR="000E3A94" w:rsidRPr="00172AD7" w:rsidRDefault="000E3A94" w:rsidP="000E3A94">
      <w:pPr>
        <w:rPr>
          <w:b/>
          <w:bCs/>
          <w:color w:val="000000" w:themeColor="text1"/>
        </w:rPr>
      </w:pPr>
      <w:r w:rsidRPr="00172AD7">
        <w:rPr>
          <w:b/>
          <w:bCs/>
          <w:color w:val="000000" w:themeColor="text1"/>
        </w:rPr>
        <w:t xml:space="preserve">Table </w:t>
      </w:r>
      <w:r>
        <w:rPr>
          <w:b/>
          <w:bCs/>
          <w:color w:val="000000" w:themeColor="text1"/>
        </w:rPr>
        <w:t>1</w:t>
      </w:r>
    </w:p>
    <w:p w14:paraId="311089BA" w14:textId="77777777" w:rsidR="000E3A94" w:rsidRPr="00172AD7" w:rsidRDefault="000E3A94" w:rsidP="000E3A94">
      <w:pPr>
        <w:rPr>
          <w:i/>
          <w:iCs/>
          <w:color w:val="000000" w:themeColor="text1"/>
        </w:rPr>
      </w:pPr>
      <w:r w:rsidRPr="00172AD7">
        <w:rPr>
          <w:i/>
          <w:iCs/>
          <w:color w:val="000000" w:themeColor="text1"/>
        </w:rPr>
        <w:t>Variables Definitions</w:t>
      </w:r>
    </w:p>
    <w:tbl>
      <w:tblPr>
        <w:tblW w:w="4942" w:type="pct"/>
        <w:tblLook w:val="04A0" w:firstRow="1" w:lastRow="0" w:firstColumn="1" w:lastColumn="0" w:noHBand="0" w:noVBand="1"/>
      </w:tblPr>
      <w:tblGrid>
        <w:gridCol w:w="2220"/>
        <w:gridCol w:w="2965"/>
        <w:gridCol w:w="4280"/>
      </w:tblGrid>
      <w:tr w:rsidR="000E3A94" w:rsidRPr="00742F8F" w14:paraId="1BA9691C" w14:textId="77777777" w:rsidTr="00AD715B">
        <w:trPr>
          <w:trHeight w:val="340"/>
          <w:tblHeader/>
        </w:trPr>
        <w:tc>
          <w:tcPr>
            <w:tcW w:w="1172" w:type="pct"/>
            <w:tcBorders>
              <w:top w:val="single" w:sz="4" w:space="0" w:color="auto"/>
              <w:left w:val="nil"/>
              <w:bottom w:val="single" w:sz="4" w:space="0" w:color="auto"/>
              <w:right w:val="nil"/>
            </w:tcBorders>
            <w:shd w:val="clear" w:color="auto" w:fill="auto"/>
            <w:vAlign w:val="center"/>
            <w:hideMark/>
          </w:tcPr>
          <w:p w14:paraId="6280835A" w14:textId="77777777" w:rsidR="000E3A94" w:rsidRPr="00742F8F" w:rsidRDefault="000E3A94" w:rsidP="00AD715B">
            <w:pPr>
              <w:suppressAutoHyphens w:val="0"/>
              <w:spacing w:line="240" w:lineRule="auto"/>
              <w:jc w:val="center"/>
              <w:rPr>
                <w:rFonts w:eastAsia="Times New Roman"/>
                <w:b/>
                <w:bCs/>
                <w:color w:val="222222"/>
                <w:lang w:val="en-KR" w:eastAsia="ko-KR"/>
              </w:rPr>
            </w:pPr>
            <w:r w:rsidRPr="00742F8F">
              <w:rPr>
                <w:rFonts w:eastAsia="Times New Roman"/>
                <w:b/>
                <w:bCs/>
                <w:color w:val="222222"/>
                <w:lang w:val="en-KR" w:eastAsia="ko-KR"/>
              </w:rPr>
              <w:t>Variables</w:t>
            </w:r>
          </w:p>
        </w:tc>
        <w:tc>
          <w:tcPr>
            <w:tcW w:w="1566" w:type="pct"/>
            <w:tcBorders>
              <w:top w:val="single" w:sz="4" w:space="0" w:color="auto"/>
              <w:left w:val="nil"/>
              <w:bottom w:val="single" w:sz="4" w:space="0" w:color="auto"/>
              <w:right w:val="nil"/>
            </w:tcBorders>
            <w:shd w:val="clear" w:color="auto" w:fill="auto"/>
            <w:vAlign w:val="center"/>
            <w:hideMark/>
          </w:tcPr>
          <w:p w14:paraId="773C0B47" w14:textId="77777777" w:rsidR="000E3A94" w:rsidRPr="00742F8F" w:rsidRDefault="000E3A94" w:rsidP="00AD715B">
            <w:pPr>
              <w:suppressAutoHyphens w:val="0"/>
              <w:spacing w:line="240" w:lineRule="auto"/>
              <w:jc w:val="center"/>
              <w:rPr>
                <w:rFonts w:eastAsia="Times New Roman"/>
                <w:b/>
                <w:bCs/>
                <w:color w:val="222222"/>
                <w:lang w:val="en-KR" w:eastAsia="ko-KR"/>
              </w:rPr>
            </w:pPr>
            <w:r w:rsidRPr="00742F8F">
              <w:rPr>
                <w:rFonts w:eastAsia="Times New Roman"/>
                <w:b/>
                <w:bCs/>
                <w:color w:val="222222"/>
                <w:lang w:val="en-KR" w:eastAsia="ko-KR"/>
              </w:rPr>
              <w:t>Meaning</w:t>
            </w:r>
          </w:p>
        </w:tc>
        <w:tc>
          <w:tcPr>
            <w:tcW w:w="2261" w:type="pct"/>
            <w:tcBorders>
              <w:top w:val="single" w:sz="4" w:space="0" w:color="auto"/>
              <w:left w:val="nil"/>
              <w:bottom w:val="single" w:sz="4" w:space="0" w:color="auto"/>
              <w:right w:val="nil"/>
            </w:tcBorders>
            <w:shd w:val="clear" w:color="auto" w:fill="auto"/>
            <w:vAlign w:val="center"/>
            <w:hideMark/>
          </w:tcPr>
          <w:p w14:paraId="55899F19" w14:textId="77777777" w:rsidR="000E3A94" w:rsidRPr="00742F8F" w:rsidRDefault="000E3A94" w:rsidP="00AD715B">
            <w:pPr>
              <w:suppressAutoHyphens w:val="0"/>
              <w:spacing w:line="240" w:lineRule="auto"/>
              <w:jc w:val="center"/>
              <w:rPr>
                <w:rFonts w:eastAsia="Times New Roman"/>
                <w:b/>
                <w:bCs/>
                <w:color w:val="222222"/>
                <w:lang w:val="en-KR" w:eastAsia="ko-KR"/>
              </w:rPr>
            </w:pPr>
            <w:r w:rsidRPr="00742F8F">
              <w:rPr>
                <w:rFonts w:eastAsia="Times New Roman"/>
                <w:b/>
                <w:bCs/>
                <w:color w:val="222222"/>
                <w:lang w:val="en-KR" w:eastAsia="ko-KR"/>
              </w:rPr>
              <w:t>Measurements</w:t>
            </w:r>
          </w:p>
        </w:tc>
      </w:tr>
      <w:tr w:rsidR="000E3A94" w:rsidRPr="00742F8F" w14:paraId="7BA85F4F" w14:textId="77777777" w:rsidTr="00AD715B">
        <w:trPr>
          <w:trHeight w:val="2380"/>
        </w:trPr>
        <w:tc>
          <w:tcPr>
            <w:tcW w:w="1172" w:type="pct"/>
            <w:tcBorders>
              <w:top w:val="nil"/>
              <w:left w:val="nil"/>
              <w:bottom w:val="nil"/>
              <w:right w:val="nil"/>
            </w:tcBorders>
            <w:shd w:val="clear" w:color="auto" w:fill="auto"/>
            <w:vAlign w:val="center"/>
            <w:hideMark/>
          </w:tcPr>
          <w:p w14:paraId="4D3227A5" w14:textId="77777777" w:rsidR="000E3A94" w:rsidRPr="00742F8F" w:rsidRDefault="000E3A94" w:rsidP="00AD715B">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Total</w:t>
            </w:r>
          </w:p>
        </w:tc>
        <w:tc>
          <w:tcPr>
            <w:tcW w:w="1566" w:type="pct"/>
            <w:tcBorders>
              <w:top w:val="nil"/>
              <w:left w:val="nil"/>
              <w:bottom w:val="nil"/>
              <w:right w:val="nil"/>
            </w:tcBorders>
            <w:shd w:val="clear" w:color="auto" w:fill="auto"/>
            <w:vAlign w:val="center"/>
            <w:hideMark/>
          </w:tcPr>
          <w:p w14:paraId="1827C1EE" w14:textId="77777777" w:rsidR="000E3A94" w:rsidRPr="00742F8F" w:rsidRDefault="000E3A94" w:rsidP="00AD715B">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Total Digitalization Degree</w:t>
            </w:r>
          </w:p>
        </w:tc>
        <w:tc>
          <w:tcPr>
            <w:tcW w:w="2261" w:type="pct"/>
            <w:tcBorders>
              <w:top w:val="nil"/>
              <w:left w:val="nil"/>
              <w:bottom w:val="nil"/>
              <w:right w:val="nil"/>
            </w:tcBorders>
            <w:shd w:val="clear" w:color="auto" w:fill="auto"/>
            <w:vAlign w:val="center"/>
            <w:hideMark/>
          </w:tcPr>
          <w:p w14:paraId="48478AE5" w14:textId="77777777" w:rsidR="000E3A94" w:rsidRPr="00742F8F" w:rsidRDefault="000E3A94" w:rsidP="00AD715B">
            <w:pPr>
              <w:suppressAutoHyphens w:val="0"/>
              <w:spacing w:line="240" w:lineRule="auto"/>
              <w:rPr>
                <w:rFonts w:eastAsia="Times New Roman"/>
                <w:color w:val="222222"/>
                <w:lang w:val="en-KR" w:eastAsia="ko-KR"/>
              </w:rPr>
            </w:pPr>
            <w:r w:rsidRPr="00742F8F">
              <w:rPr>
                <w:rFonts w:eastAsia="Times New Roman"/>
                <w:color w:val="222222"/>
                <w:lang w:val="en-KR" w:eastAsia="ko-KR"/>
              </w:rPr>
              <w:t>Ln (1+word frequency), the world frequency includes the blockchain, AI, cloud technology, and big data relevant words; if not disclosed, this study denotes the degree as 0.</w:t>
            </w:r>
          </w:p>
        </w:tc>
      </w:tr>
      <w:tr w:rsidR="000E3A94" w:rsidRPr="00742F8F" w14:paraId="0206B045" w14:textId="77777777" w:rsidTr="00AD715B">
        <w:trPr>
          <w:trHeight w:val="680"/>
        </w:trPr>
        <w:tc>
          <w:tcPr>
            <w:tcW w:w="1172" w:type="pct"/>
            <w:tcBorders>
              <w:top w:val="nil"/>
              <w:left w:val="nil"/>
              <w:bottom w:val="nil"/>
              <w:right w:val="nil"/>
            </w:tcBorders>
            <w:shd w:val="clear" w:color="auto" w:fill="auto"/>
            <w:vAlign w:val="center"/>
            <w:hideMark/>
          </w:tcPr>
          <w:p w14:paraId="055D5E07" w14:textId="77777777" w:rsidR="000E3A94" w:rsidRPr="00742F8F" w:rsidRDefault="000E3A94" w:rsidP="00AD715B">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ROA</w:t>
            </w:r>
          </w:p>
        </w:tc>
        <w:tc>
          <w:tcPr>
            <w:tcW w:w="1566" w:type="pct"/>
            <w:tcBorders>
              <w:top w:val="nil"/>
              <w:left w:val="nil"/>
              <w:bottom w:val="nil"/>
              <w:right w:val="nil"/>
            </w:tcBorders>
            <w:shd w:val="clear" w:color="auto" w:fill="auto"/>
            <w:vAlign w:val="center"/>
            <w:hideMark/>
          </w:tcPr>
          <w:p w14:paraId="69ECDD7A" w14:textId="77777777" w:rsidR="000E3A94" w:rsidRPr="00742F8F" w:rsidRDefault="000E3A94" w:rsidP="00AD715B">
            <w:pPr>
              <w:suppressAutoHyphens w:val="0"/>
              <w:spacing w:line="240" w:lineRule="auto"/>
              <w:jc w:val="center"/>
              <w:rPr>
                <w:rFonts w:eastAsia="Times New Roman"/>
                <w:color w:val="000000"/>
                <w:lang w:val="en-KR" w:eastAsia="ko-KR"/>
              </w:rPr>
            </w:pPr>
            <w:r w:rsidRPr="00742F8F">
              <w:rPr>
                <w:rFonts w:eastAsia="Times New Roman"/>
                <w:color w:val="000000"/>
                <w:lang w:val="en-KR" w:eastAsia="ko-KR"/>
              </w:rPr>
              <w:t>Profitability</w:t>
            </w:r>
          </w:p>
        </w:tc>
        <w:tc>
          <w:tcPr>
            <w:tcW w:w="2261" w:type="pct"/>
            <w:tcBorders>
              <w:top w:val="nil"/>
              <w:left w:val="nil"/>
              <w:bottom w:val="nil"/>
              <w:right w:val="nil"/>
            </w:tcBorders>
            <w:shd w:val="clear" w:color="auto" w:fill="auto"/>
            <w:vAlign w:val="center"/>
            <w:hideMark/>
          </w:tcPr>
          <w:p w14:paraId="3EF96E3B" w14:textId="77777777" w:rsidR="000E3A94" w:rsidRPr="00742F8F" w:rsidRDefault="000E3A94" w:rsidP="00AD715B">
            <w:pPr>
              <w:suppressAutoHyphens w:val="0"/>
              <w:spacing w:line="240" w:lineRule="auto"/>
              <w:rPr>
                <w:rFonts w:eastAsia="Times New Roman"/>
                <w:color w:val="000000"/>
                <w:lang w:val="en-KR" w:eastAsia="ko-KR"/>
              </w:rPr>
            </w:pPr>
            <w:r w:rsidRPr="00742F8F">
              <w:rPr>
                <w:rFonts w:eastAsia="Times New Roman"/>
                <w:color w:val="000000"/>
                <w:lang w:val="en-KR" w:eastAsia="ko-KR"/>
              </w:rPr>
              <w:t>(Total Profit + Financial Expenses) / Total Assets</w:t>
            </w:r>
          </w:p>
        </w:tc>
      </w:tr>
      <w:tr w:rsidR="000E3A94" w:rsidRPr="00742F8F" w14:paraId="2FA7756D" w14:textId="77777777" w:rsidTr="00AD715B">
        <w:trPr>
          <w:trHeight w:val="680"/>
        </w:trPr>
        <w:tc>
          <w:tcPr>
            <w:tcW w:w="1172" w:type="pct"/>
            <w:tcBorders>
              <w:top w:val="nil"/>
              <w:left w:val="nil"/>
              <w:bottom w:val="nil"/>
              <w:right w:val="nil"/>
            </w:tcBorders>
            <w:shd w:val="clear" w:color="auto" w:fill="auto"/>
            <w:vAlign w:val="center"/>
            <w:hideMark/>
          </w:tcPr>
          <w:p w14:paraId="55A4EA95" w14:textId="77777777" w:rsidR="000E3A94" w:rsidRPr="00742F8F" w:rsidRDefault="000E3A94" w:rsidP="00AD715B">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Solvency</w:t>
            </w:r>
          </w:p>
        </w:tc>
        <w:tc>
          <w:tcPr>
            <w:tcW w:w="1566" w:type="pct"/>
            <w:tcBorders>
              <w:top w:val="nil"/>
              <w:left w:val="nil"/>
              <w:bottom w:val="nil"/>
              <w:right w:val="nil"/>
            </w:tcBorders>
            <w:shd w:val="clear" w:color="auto" w:fill="auto"/>
            <w:vAlign w:val="center"/>
            <w:hideMark/>
          </w:tcPr>
          <w:p w14:paraId="32C833B8" w14:textId="77777777" w:rsidR="000E3A94" w:rsidRPr="00742F8F" w:rsidRDefault="000E3A94" w:rsidP="00AD715B">
            <w:pPr>
              <w:suppressAutoHyphens w:val="0"/>
              <w:spacing w:line="240" w:lineRule="auto"/>
              <w:jc w:val="center"/>
              <w:rPr>
                <w:rFonts w:eastAsia="Times New Roman"/>
                <w:color w:val="000000"/>
                <w:lang w:val="en-KR" w:eastAsia="ko-KR"/>
              </w:rPr>
            </w:pPr>
            <w:r w:rsidRPr="00742F8F">
              <w:rPr>
                <w:rFonts w:eastAsia="Times New Roman"/>
                <w:color w:val="000000"/>
                <w:lang w:val="en-KR" w:eastAsia="ko-KR"/>
              </w:rPr>
              <w:t>Solvency Ratio</w:t>
            </w:r>
          </w:p>
        </w:tc>
        <w:tc>
          <w:tcPr>
            <w:tcW w:w="2261" w:type="pct"/>
            <w:tcBorders>
              <w:top w:val="nil"/>
              <w:left w:val="nil"/>
              <w:bottom w:val="nil"/>
              <w:right w:val="nil"/>
            </w:tcBorders>
            <w:shd w:val="clear" w:color="auto" w:fill="auto"/>
            <w:vAlign w:val="center"/>
            <w:hideMark/>
          </w:tcPr>
          <w:p w14:paraId="4574DF4D" w14:textId="77777777" w:rsidR="000E3A94" w:rsidRPr="00742F8F" w:rsidRDefault="000E3A94" w:rsidP="00AD715B">
            <w:pPr>
              <w:suppressAutoHyphens w:val="0"/>
              <w:spacing w:line="240" w:lineRule="auto"/>
              <w:rPr>
                <w:rFonts w:eastAsia="Times New Roman"/>
                <w:color w:val="000000"/>
                <w:lang w:val="en-KR" w:eastAsia="ko-KR"/>
              </w:rPr>
            </w:pPr>
            <w:r w:rsidRPr="00742F8F">
              <w:rPr>
                <w:rFonts w:eastAsia="Times New Roman"/>
                <w:color w:val="000000"/>
                <w:lang w:val="en-KR" w:eastAsia="ko-KR"/>
              </w:rPr>
              <w:t>Total Non-current Liabilities / Total Owners’ Equity</w:t>
            </w:r>
          </w:p>
        </w:tc>
      </w:tr>
      <w:tr w:rsidR="000E3A94" w:rsidRPr="00742F8F" w14:paraId="30E0FB77" w14:textId="77777777" w:rsidTr="00AD715B">
        <w:trPr>
          <w:trHeight w:val="680"/>
        </w:trPr>
        <w:tc>
          <w:tcPr>
            <w:tcW w:w="1172" w:type="pct"/>
            <w:tcBorders>
              <w:top w:val="nil"/>
              <w:left w:val="nil"/>
              <w:bottom w:val="nil"/>
              <w:right w:val="nil"/>
            </w:tcBorders>
            <w:shd w:val="clear" w:color="auto" w:fill="auto"/>
            <w:vAlign w:val="center"/>
            <w:hideMark/>
          </w:tcPr>
          <w:p w14:paraId="46509204" w14:textId="77777777" w:rsidR="000E3A94" w:rsidRPr="00742F8F" w:rsidRDefault="000E3A94" w:rsidP="00AD715B">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Age</w:t>
            </w:r>
          </w:p>
        </w:tc>
        <w:tc>
          <w:tcPr>
            <w:tcW w:w="1566" w:type="pct"/>
            <w:tcBorders>
              <w:top w:val="nil"/>
              <w:left w:val="nil"/>
              <w:bottom w:val="nil"/>
              <w:right w:val="nil"/>
            </w:tcBorders>
            <w:shd w:val="clear" w:color="auto" w:fill="auto"/>
            <w:vAlign w:val="center"/>
            <w:hideMark/>
          </w:tcPr>
          <w:p w14:paraId="1BFE7EDE" w14:textId="77777777" w:rsidR="000E3A94" w:rsidRPr="00742F8F" w:rsidRDefault="000E3A94" w:rsidP="00AD715B">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Firm year</w:t>
            </w:r>
          </w:p>
        </w:tc>
        <w:tc>
          <w:tcPr>
            <w:tcW w:w="2261" w:type="pct"/>
            <w:tcBorders>
              <w:top w:val="nil"/>
              <w:left w:val="nil"/>
              <w:bottom w:val="nil"/>
              <w:right w:val="nil"/>
            </w:tcBorders>
            <w:shd w:val="clear" w:color="auto" w:fill="auto"/>
            <w:vAlign w:val="center"/>
            <w:hideMark/>
          </w:tcPr>
          <w:p w14:paraId="0D55D535" w14:textId="77777777" w:rsidR="000E3A94" w:rsidRPr="00742F8F" w:rsidRDefault="000E3A94" w:rsidP="00AD715B">
            <w:pPr>
              <w:suppressAutoHyphens w:val="0"/>
              <w:spacing w:line="240" w:lineRule="auto"/>
              <w:rPr>
                <w:rFonts w:eastAsia="Times New Roman"/>
                <w:color w:val="222222"/>
                <w:lang w:val="en-KR" w:eastAsia="ko-KR"/>
              </w:rPr>
            </w:pPr>
            <w:r w:rsidRPr="00742F8F">
              <w:rPr>
                <w:rFonts w:eastAsia="Times New Roman"/>
                <w:color w:val="222222"/>
                <w:lang w:val="en-KR" w:eastAsia="ko-KR"/>
              </w:rPr>
              <w:t>Ln(fiscal calendar year- listed year)</w:t>
            </w:r>
          </w:p>
        </w:tc>
      </w:tr>
      <w:tr w:rsidR="000E3A94" w:rsidRPr="00742F8F" w14:paraId="2224F7D1" w14:textId="77777777" w:rsidTr="00AD715B">
        <w:trPr>
          <w:trHeight w:val="1020"/>
        </w:trPr>
        <w:tc>
          <w:tcPr>
            <w:tcW w:w="1172" w:type="pct"/>
            <w:tcBorders>
              <w:top w:val="nil"/>
              <w:left w:val="nil"/>
              <w:bottom w:val="nil"/>
              <w:right w:val="nil"/>
            </w:tcBorders>
            <w:shd w:val="clear" w:color="auto" w:fill="auto"/>
            <w:vAlign w:val="center"/>
            <w:hideMark/>
          </w:tcPr>
          <w:p w14:paraId="421BDA53" w14:textId="77777777" w:rsidR="000E3A94" w:rsidRPr="00742F8F" w:rsidRDefault="000E3A94" w:rsidP="00AD715B">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DegreeM</w:t>
            </w:r>
          </w:p>
        </w:tc>
        <w:tc>
          <w:tcPr>
            <w:tcW w:w="1566" w:type="pct"/>
            <w:tcBorders>
              <w:top w:val="nil"/>
              <w:left w:val="nil"/>
              <w:bottom w:val="nil"/>
              <w:right w:val="nil"/>
            </w:tcBorders>
            <w:shd w:val="clear" w:color="auto" w:fill="auto"/>
            <w:vAlign w:val="center"/>
            <w:hideMark/>
          </w:tcPr>
          <w:p w14:paraId="419370AD" w14:textId="77777777" w:rsidR="000E3A94" w:rsidRPr="00742F8F" w:rsidRDefault="000E3A94" w:rsidP="00AD715B">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Proportion of Top managers holding a higher education degree</w:t>
            </w:r>
          </w:p>
        </w:tc>
        <w:tc>
          <w:tcPr>
            <w:tcW w:w="2261" w:type="pct"/>
            <w:tcBorders>
              <w:top w:val="nil"/>
              <w:left w:val="nil"/>
              <w:bottom w:val="nil"/>
              <w:right w:val="nil"/>
            </w:tcBorders>
            <w:shd w:val="clear" w:color="auto" w:fill="auto"/>
            <w:vAlign w:val="center"/>
            <w:hideMark/>
          </w:tcPr>
          <w:p w14:paraId="50568479" w14:textId="77777777" w:rsidR="000E3A94" w:rsidRPr="00742F8F" w:rsidRDefault="000E3A94" w:rsidP="00AD715B">
            <w:pPr>
              <w:suppressAutoHyphens w:val="0"/>
              <w:spacing w:line="240" w:lineRule="auto"/>
              <w:rPr>
                <w:rFonts w:eastAsia="Times New Roman"/>
                <w:color w:val="222222"/>
                <w:lang w:val="en-KR" w:eastAsia="ko-KR"/>
              </w:rPr>
            </w:pPr>
            <w:r w:rsidRPr="00742F8F">
              <w:rPr>
                <w:rFonts w:eastAsia="Times New Roman"/>
                <w:color w:val="222222"/>
                <w:lang w:val="en-KR" w:eastAsia="ko-KR"/>
              </w:rPr>
              <w:t>Ratio of top managers with education above or equal to a master’s degree</w:t>
            </w:r>
            <w:r w:rsidRPr="00742F8F">
              <w:rPr>
                <w:rFonts w:eastAsia="Times New Roman"/>
                <w:color w:val="000000"/>
                <w:sz w:val="16"/>
                <w:szCs w:val="16"/>
                <w:lang w:val="en-KR" w:eastAsia="ko-KR"/>
              </w:rPr>
              <w:t> </w:t>
            </w:r>
          </w:p>
        </w:tc>
      </w:tr>
      <w:tr w:rsidR="000E3A94" w:rsidRPr="00742F8F" w14:paraId="21B12CBB" w14:textId="77777777" w:rsidTr="00AD715B">
        <w:trPr>
          <w:trHeight w:val="680"/>
        </w:trPr>
        <w:tc>
          <w:tcPr>
            <w:tcW w:w="1172" w:type="pct"/>
            <w:tcBorders>
              <w:top w:val="nil"/>
              <w:left w:val="nil"/>
              <w:bottom w:val="nil"/>
              <w:right w:val="nil"/>
            </w:tcBorders>
            <w:shd w:val="clear" w:color="auto" w:fill="auto"/>
            <w:vAlign w:val="center"/>
            <w:hideMark/>
          </w:tcPr>
          <w:p w14:paraId="7F43C8F1" w14:textId="77777777" w:rsidR="000E3A94" w:rsidRPr="00742F8F" w:rsidRDefault="000E3A94" w:rsidP="00AD715B">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SharesM</w:t>
            </w:r>
          </w:p>
        </w:tc>
        <w:tc>
          <w:tcPr>
            <w:tcW w:w="1566" w:type="pct"/>
            <w:tcBorders>
              <w:top w:val="nil"/>
              <w:left w:val="nil"/>
              <w:bottom w:val="nil"/>
              <w:right w:val="nil"/>
            </w:tcBorders>
            <w:shd w:val="clear" w:color="auto" w:fill="auto"/>
            <w:vAlign w:val="center"/>
            <w:hideMark/>
          </w:tcPr>
          <w:p w14:paraId="6680B258" w14:textId="77777777" w:rsidR="000E3A94" w:rsidRPr="00742F8F" w:rsidRDefault="000E3A94" w:rsidP="00AD715B">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The shares owned by the top managers</w:t>
            </w:r>
            <w:r w:rsidRPr="00742F8F">
              <w:rPr>
                <w:rFonts w:eastAsia="Times New Roman"/>
                <w:color w:val="000000"/>
                <w:sz w:val="16"/>
                <w:szCs w:val="16"/>
                <w:lang w:val="en-KR" w:eastAsia="ko-KR"/>
              </w:rPr>
              <w:t> </w:t>
            </w:r>
          </w:p>
        </w:tc>
        <w:tc>
          <w:tcPr>
            <w:tcW w:w="2261" w:type="pct"/>
            <w:tcBorders>
              <w:top w:val="nil"/>
              <w:left w:val="nil"/>
              <w:bottom w:val="nil"/>
              <w:right w:val="nil"/>
            </w:tcBorders>
            <w:shd w:val="clear" w:color="auto" w:fill="auto"/>
            <w:vAlign w:val="center"/>
            <w:hideMark/>
          </w:tcPr>
          <w:p w14:paraId="7246D047" w14:textId="77777777" w:rsidR="000E3A94" w:rsidRPr="00742F8F" w:rsidRDefault="000E3A94" w:rsidP="00AD715B">
            <w:pPr>
              <w:suppressAutoHyphens w:val="0"/>
              <w:spacing w:line="240" w:lineRule="auto"/>
              <w:rPr>
                <w:rFonts w:eastAsia="Times New Roman"/>
                <w:color w:val="222222"/>
                <w:lang w:val="en-KR" w:eastAsia="ko-KR"/>
              </w:rPr>
            </w:pPr>
          </w:p>
        </w:tc>
      </w:tr>
      <w:tr w:rsidR="000E3A94" w:rsidRPr="00742F8F" w14:paraId="5259C017" w14:textId="77777777" w:rsidTr="00AD715B">
        <w:trPr>
          <w:trHeight w:val="1020"/>
        </w:trPr>
        <w:tc>
          <w:tcPr>
            <w:tcW w:w="1172" w:type="pct"/>
            <w:tcBorders>
              <w:top w:val="nil"/>
              <w:left w:val="nil"/>
              <w:bottom w:val="nil"/>
              <w:right w:val="nil"/>
            </w:tcBorders>
            <w:shd w:val="clear" w:color="auto" w:fill="auto"/>
            <w:vAlign w:val="center"/>
            <w:hideMark/>
          </w:tcPr>
          <w:p w14:paraId="250DBBDB" w14:textId="77777777" w:rsidR="000E3A94" w:rsidRPr="00742F8F" w:rsidRDefault="000E3A94" w:rsidP="00AD715B">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Degreep</w:t>
            </w:r>
          </w:p>
        </w:tc>
        <w:tc>
          <w:tcPr>
            <w:tcW w:w="1566" w:type="pct"/>
            <w:tcBorders>
              <w:top w:val="nil"/>
              <w:left w:val="nil"/>
              <w:bottom w:val="nil"/>
              <w:right w:val="nil"/>
            </w:tcBorders>
            <w:shd w:val="clear" w:color="auto" w:fill="auto"/>
            <w:vAlign w:val="center"/>
            <w:hideMark/>
          </w:tcPr>
          <w:p w14:paraId="1AEC83B2" w14:textId="77777777" w:rsidR="000E3A94" w:rsidRPr="00742F8F" w:rsidRDefault="000E3A94" w:rsidP="00AD715B">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The proportion of Employees with higher education</w:t>
            </w:r>
          </w:p>
        </w:tc>
        <w:tc>
          <w:tcPr>
            <w:tcW w:w="2261" w:type="pct"/>
            <w:tcBorders>
              <w:top w:val="nil"/>
              <w:left w:val="nil"/>
              <w:bottom w:val="nil"/>
              <w:right w:val="nil"/>
            </w:tcBorders>
            <w:shd w:val="clear" w:color="auto" w:fill="auto"/>
            <w:vAlign w:val="center"/>
            <w:hideMark/>
          </w:tcPr>
          <w:p w14:paraId="7E8513E9" w14:textId="77777777" w:rsidR="000E3A94" w:rsidRPr="00742F8F" w:rsidRDefault="000E3A94" w:rsidP="00AD715B">
            <w:pPr>
              <w:suppressAutoHyphens w:val="0"/>
              <w:spacing w:line="240" w:lineRule="auto"/>
              <w:rPr>
                <w:rFonts w:eastAsia="Times New Roman"/>
                <w:color w:val="222222"/>
                <w:lang w:val="en-KR" w:eastAsia="ko-KR"/>
              </w:rPr>
            </w:pPr>
            <w:r w:rsidRPr="00742F8F">
              <w:rPr>
                <w:rFonts w:eastAsia="Times New Roman"/>
                <w:color w:val="222222"/>
                <w:lang w:val="en-KR" w:eastAsia="ko-KR"/>
              </w:rPr>
              <w:t>Ratio of employees with education above or equal to master’s degree</w:t>
            </w:r>
            <w:r w:rsidRPr="00742F8F">
              <w:rPr>
                <w:rFonts w:eastAsia="Times New Roman"/>
                <w:color w:val="000000"/>
                <w:sz w:val="16"/>
                <w:szCs w:val="16"/>
                <w:lang w:val="en-KR" w:eastAsia="ko-KR"/>
              </w:rPr>
              <w:t> </w:t>
            </w:r>
          </w:p>
        </w:tc>
      </w:tr>
      <w:tr w:rsidR="000E3A94" w:rsidRPr="00742F8F" w14:paraId="5BCF8D68" w14:textId="77777777" w:rsidTr="00AD715B">
        <w:trPr>
          <w:trHeight w:val="1700"/>
        </w:trPr>
        <w:tc>
          <w:tcPr>
            <w:tcW w:w="1172" w:type="pct"/>
            <w:tcBorders>
              <w:top w:val="nil"/>
              <w:left w:val="nil"/>
              <w:bottom w:val="nil"/>
              <w:right w:val="nil"/>
            </w:tcBorders>
            <w:shd w:val="clear" w:color="auto" w:fill="auto"/>
            <w:vAlign w:val="center"/>
            <w:hideMark/>
          </w:tcPr>
          <w:p w14:paraId="582B0227" w14:textId="77777777" w:rsidR="000E3A94" w:rsidRPr="00742F8F" w:rsidRDefault="000E3A94" w:rsidP="00AD715B">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Big</w:t>
            </w:r>
          </w:p>
        </w:tc>
        <w:tc>
          <w:tcPr>
            <w:tcW w:w="1566" w:type="pct"/>
            <w:tcBorders>
              <w:top w:val="nil"/>
              <w:left w:val="nil"/>
              <w:bottom w:val="nil"/>
              <w:right w:val="nil"/>
            </w:tcBorders>
            <w:shd w:val="clear" w:color="auto" w:fill="auto"/>
            <w:vAlign w:val="center"/>
            <w:hideMark/>
          </w:tcPr>
          <w:p w14:paraId="04FE7D2B" w14:textId="77777777" w:rsidR="000E3A94" w:rsidRPr="00742F8F" w:rsidRDefault="000E3A94" w:rsidP="00AD715B">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Big Data Degree</w:t>
            </w:r>
          </w:p>
        </w:tc>
        <w:tc>
          <w:tcPr>
            <w:tcW w:w="2261" w:type="pct"/>
            <w:tcBorders>
              <w:top w:val="nil"/>
              <w:left w:val="nil"/>
              <w:bottom w:val="nil"/>
              <w:right w:val="nil"/>
            </w:tcBorders>
            <w:shd w:val="clear" w:color="auto" w:fill="auto"/>
            <w:vAlign w:val="center"/>
            <w:hideMark/>
          </w:tcPr>
          <w:p w14:paraId="32149CC9" w14:textId="77777777" w:rsidR="000E3A94" w:rsidRPr="00742F8F" w:rsidRDefault="000E3A94" w:rsidP="00AD715B">
            <w:pPr>
              <w:suppressAutoHyphens w:val="0"/>
              <w:spacing w:line="240" w:lineRule="auto"/>
              <w:rPr>
                <w:rFonts w:eastAsia="Times New Roman"/>
                <w:color w:val="222222"/>
                <w:lang w:val="en-KR" w:eastAsia="ko-KR"/>
              </w:rPr>
            </w:pPr>
            <w:r w:rsidRPr="00742F8F">
              <w:rPr>
                <w:rFonts w:eastAsia="Times New Roman"/>
                <w:color w:val="222222"/>
                <w:lang w:val="en-KR" w:eastAsia="ko-KR"/>
              </w:rPr>
              <w:t>ln (1+word frequency), the world frequency includes the big data relevant words; if it is not disclosed, this study denotes the degree as 0.</w:t>
            </w:r>
          </w:p>
        </w:tc>
      </w:tr>
      <w:tr w:rsidR="000E3A94" w:rsidRPr="00742F8F" w14:paraId="2F0717D0" w14:textId="77777777" w:rsidTr="00AD715B">
        <w:trPr>
          <w:trHeight w:val="2040"/>
        </w:trPr>
        <w:tc>
          <w:tcPr>
            <w:tcW w:w="1172" w:type="pct"/>
            <w:tcBorders>
              <w:top w:val="nil"/>
              <w:left w:val="nil"/>
              <w:bottom w:val="nil"/>
              <w:right w:val="nil"/>
            </w:tcBorders>
            <w:shd w:val="clear" w:color="auto" w:fill="auto"/>
            <w:vAlign w:val="center"/>
            <w:hideMark/>
          </w:tcPr>
          <w:p w14:paraId="4470A613" w14:textId="77777777" w:rsidR="000E3A94" w:rsidRPr="00742F8F" w:rsidRDefault="000E3A94" w:rsidP="00AD715B">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lastRenderedPageBreak/>
              <w:t>Cloud</w:t>
            </w:r>
          </w:p>
        </w:tc>
        <w:tc>
          <w:tcPr>
            <w:tcW w:w="1566" w:type="pct"/>
            <w:tcBorders>
              <w:top w:val="nil"/>
              <w:left w:val="nil"/>
              <w:bottom w:val="nil"/>
              <w:right w:val="nil"/>
            </w:tcBorders>
            <w:shd w:val="clear" w:color="auto" w:fill="auto"/>
            <w:vAlign w:val="center"/>
            <w:hideMark/>
          </w:tcPr>
          <w:p w14:paraId="309FF1D5" w14:textId="77777777" w:rsidR="000E3A94" w:rsidRPr="00742F8F" w:rsidRDefault="000E3A94" w:rsidP="00AD715B">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Cloud Technology Degree</w:t>
            </w:r>
          </w:p>
        </w:tc>
        <w:tc>
          <w:tcPr>
            <w:tcW w:w="2261" w:type="pct"/>
            <w:tcBorders>
              <w:top w:val="nil"/>
              <w:left w:val="nil"/>
              <w:bottom w:val="nil"/>
              <w:right w:val="nil"/>
            </w:tcBorders>
            <w:shd w:val="clear" w:color="auto" w:fill="auto"/>
            <w:vAlign w:val="center"/>
            <w:hideMark/>
          </w:tcPr>
          <w:p w14:paraId="030D446F" w14:textId="77777777" w:rsidR="000E3A94" w:rsidRPr="00742F8F" w:rsidRDefault="000E3A94" w:rsidP="00AD715B">
            <w:pPr>
              <w:suppressAutoHyphens w:val="0"/>
              <w:spacing w:line="240" w:lineRule="auto"/>
              <w:rPr>
                <w:rFonts w:eastAsia="Times New Roman"/>
                <w:color w:val="222222"/>
                <w:lang w:val="en-KR" w:eastAsia="ko-KR"/>
              </w:rPr>
            </w:pPr>
            <w:r w:rsidRPr="00742F8F">
              <w:rPr>
                <w:rFonts w:eastAsia="Times New Roman"/>
                <w:color w:val="222222"/>
                <w:lang w:val="en-KR" w:eastAsia="ko-KR"/>
              </w:rPr>
              <w:t>ln (1+word frequency), the world frequency includes the cloud technology relevant words; if it is not disclosed, this study denotes the degree as 0.</w:t>
            </w:r>
          </w:p>
        </w:tc>
      </w:tr>
      <w:tr w:rsidR="000E3A94" w:rsidRPr="00742F8F" w14:paraId="4813187F" w14:textId="77777777" w:rsidTr="00AD715B">
        <w:trPr>
          <w:trHeight w:val="2040"/>
        </w:trPr>
        <w:tc>
          <w:tcPr>
            <w:tcW w:w="1172" w:type="pct"/>
            <w:tcBorders>
              <w:top w:val="nil"/>
              <w:left w:val="nil"/>
              <w:bottom w:val="nil"/>
              <w:right w:val="nil"/>
            </w:tcBorders>
            <w:shd w:val="clear" w:color="auto" w:fill="auto"/>
            <w:vAlign w:val="center"/>
            <w:hideMark/>
          </w:tcPr>
          <w:p w14:paraId="3E2956F7" w14:textId="77777777" w:rsidR="000E3A94" w:rsidRPr="00742F8F" w:rsidRDefault="000E3A94" w:rsidP="00AD715B">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Block</w:t>
            </w:r>
          </w:p>
        </w:tc>
        <w:tc>
          <w:tcPr>
            <w:tcW w:w="1566" w:type="pct"/>
            <w:tcBorders>
              <w:top w:val="nil"/>
              <w:left w:val="nil"/>
              <w:bottom w:val="nil"/>
              <w:right w:val="nil"/>
            </w:tcBorders>
            <w:shd w:val="clear" w:color="auto" w:fill="auto"/>
            <w:vAlign w:val="center"/>
            <w:hideMark/>
          </w:tcPr>
          <w:p w14:paraId="52FA0863" w14:textId="77777777" w:rsidR="000E3A94" w:rsidRPr="00742F8F" w:rsidRDefault="000E3A94" w:rsidP="00AD715B">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Blockchain Technology Degree</w:t>
            </w:r>
          </w:p>
        </w:tc>
        <w:tc>
          <w:tcPr>
            <w:tcW w:w="2261" w:type="pct"/>
            <w:tcBorders>
              <w:top w:val="nil"/>
              <w:left w:val="nil"/>
              <w:bottom w:val="nil"/>
              <w:right w:val="nil"/>
            </w:tcBorders>
            <w:shd w:val="clear" w:color="auto" w:fill="auto"/>
            <w:vAlign w:val="center"/>
            <w:hideMark/>
          </w:tcPr>
          <w:p w14:paraId="5D20A2D1" w14:textId="77777777" w:rsidR="000E3A94" w:rsidRPr="00742F8F" w:rsidRDefault="000E3A94" w:rsidP="00AD715B">
            <w:pPr>
              <w:suppressAutoHyphens w:val="0"/>
              <w:spacing w:line="240" w:lineRule="auto"/>
              <w:rPr>
                <w:rFonts w:eastAsia="Times New Roman"/>
                <w:color w:val="222222"/>
                <w:lang w:val="en-KR" w:eastAsia="ko-KR"/>
              </w:rPr>
            </w:pPr>
            <w:r w:rsidRPr="00742F8F">
              <w:rPr>
                <w:rFonts w:eastAsia="Times New Roman"/>
                <w:color w:val="222222"/>
                <w:lang w:val="en-KR" w:eastAsia="ko-KR"/>
              </w:rPr>
              <w:t>ln (1+word frequency), the world frequency includes the words relevant to Blockchain technology; if it is not disclosed, this study denotes the degree as 0.</w:t>
            </w:r>
          </w:p>
        </w:tc>
      </w:tr>
      <w:tr w:rsidR="000E3A94" w:rsidRPr="00742F8F" w14:paraId="12C031F7" w14:textId="77777777" w:rsidTr="00AD715B">
        <w:trPr>
          <w:trHeight w:val="2040"/>
        </w:trPr>
        <w:tc>
          <w:tcPr>
            <w:tcW w:w="1172" w:type="pct"/>
            <w:tcBorders>
              <w:top w:val="nil"/>
              <w:left w:val="nil"/>
              <w:bottom w:val="nil"/>
              <w:right w:val="nil"/>
            </w:tcBorders>
            <w:shd w:val="clear" w:color="auto" w:fill="auto"/>
            <w:vAlign w:val="center"/>
            <w:hideMark/>
          </w:tcPr>
          <w:p w14:paraId="1F9FA18C" w14:textId="77777777" w:rsidR="000E3A94" w:rsidRPr="00742F8F" w:rsidRDefault="000E3A94" w:rsidP="00AD715B">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AI</w:t>
            </w:r>
          </w:p>
        </w:tc>
        <w:tc>
          <w:tcPr>
            <w:tcW w:w="1566" w:type="pct"/>
            <w:tcBorders>
              <w:top w:val="nil"/>
              <w:left w:val="nil"/>
              <w:bottom w:val="nil"/>
              <w:right w:val="nil"/>
            </w:tcBorders>
            <w:shd w:val="clear" w:color="auto" w:fill="auto"/>
            <w:vAlign w:val="center"/>
            <w:hideMark/>
          </w:tcPr>
          <w:p w14:paraId="4A05306E" w14:textId="77777777" w:rsidR="000E3A94" w:rsidRPr="00742F8F" w:rsidRDefault="000E3A94" w:rsidP="00AD715B">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Artificial Intelligence Degree</w:t>
            </w:r>
          </w:p>
        </w:tc>
        <w:tc>
          <w:tcPr>
            <w:tcW w:w="2261" w:type="pct"/>
            <w:tcBorders>
              <w:top w:val="nil"/>
              <w:left w:val="nil"/>
              <w:bottom w:val="nil"/>
              <w:right w:val="nil"/>
            </w:tcBorders>
            <w:shd w:val="clear" w:color="auto" w:fill="auto"/>
            <w:vAlign w:val="center"/>
            <w:hideMark/>
          </w:tcPr>
          <w:p w14:paraId="441FCB1F" w14:textId="77777777" w:rsidR="000E3A94" w:rsidRPr="00742F8F" w:rsidRDefault="000E3A94" w:rsidP="00AD715B">
            <w:pPr>
              <w:suppressAutoHyphens w:val="0"/>
              <w:spacing w:line="240" w:lineRule="auto"/>
              <w:rPr>
                <w:rFonts w:eastAsia="Times New Roman"/>
                <w:color w:val="222222"/>
                <w:lang w:val="en-KR" w:eastAsia="ko-KR"/>
              </w:rPr>
            </w:pPr>
            <w:r w:rsidRPr="00742F8F">
              <w:rPr>
                <w:rFonts w:eastAsia="Times New Roman"/>
                <w:color w:val="222222"/>
                <w:lang w:val="en-KR" w:eastAsia="ko-KR"/>
              </w:rPr>
              <w:t>ln (1+word frequency), the world frequency includes the words relevant to Artificial Intelligence; if it is not disclosed, this study denotes the degree as 0.</w:t>
            </w:r>
          </w:p>
        </w:tc>
      </w:tr>
      <w:tr w:rsidR="000E3A94" w:rsidRPr="00742F8F" w14:paraId="56BE0E04" w14:textId="77777777" w:rsidTr="00AD715B">
        <w:trPr>
          <w:trHeight w:val="5100"/>
        </w:trPr>
        <w:tc>
          <w:tcPr>
            <w:tcW w:w="1172" w:type="pct"/>
            <w:tcBorders>
              <w:top w:val="nil"/>
              <w:left w:val="nil"/>
              <w:bottom w:val="nil"/>
              <w:right w:val="nil"/>
            </w:tcBorders>
            <w:shd w:val="clear" w:color="auto" w:fill="auto"/>
            <w:vAlign w:val="center"/>
            <w:hideMark/>
          </w:tcPr>
          <w:p w14:paraId="72499211" w14:textId="77777777" w:rsidR="000E3A94" w:rsidRPr="00742F8F" w:rsidRDefault="000E3A94" w:rsidP="00AD715B">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FinBackM</w:t>
            </w:r>
          </w:p>
        </w:tc>
        <w:tc>
          <w:tcPr>
            <w:tcW w:w="1566" w:type="pct"/>
            <w:tcBorders>
              <w:top w:val="nil"/>
              <w:left w:val="nil"/>
              <w:bottom w:val="nil"/>
              <w:right w:val="nil"/>
            </w:tcBorders>
            <w:shd w:val="clear" w:color="auto" w:fill="auto"/>
            <w:vAlign w:val="center"/>
            <w:hideMark/>
          </w:tcPr>
          <w:p w14:paraId="0B757F01" w14:textId="77777777" w:rsidR="000E3A94" w:rsidRPr="00742F8F" w:rsidRDefault="000E3A94" w:rsidP="00AD715B">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Financial Background of Top Executives</w:t>
            </w:r>
          </w:p>
        </w:tc>
        <w:tc>
          <w:tcPr>
            <w:tcW w:w="2261" w:type="pct"/>
            <w:tcBorders>
              <w:top w:val="nil"/>
              <w:left w:val="nil"/>
              <w:bottom w:val="nil"/>
              <w:right w:val="nil"/>
            </w:tcBorders>
            <w:shd w:val="clear" w:color="auto" w:fill="auto"/>
            <w:vAlign w:val="center"/>
            <w:hideMark/>
          </w:tcPr>
          <w:p w14:paraId="35960156" w14:textId="77777777" w:rsidR="000E3A94" w:rsidRPr="00742F8F" w:rsidRDefault="000E3A94" w:rsidP="00AD715B">
            <w:pPr>
              <w:suppressAutoHyphens w:val="0"/>
              <w:spacing w:line="240" w:lineRule="auto"/>
              <w:rPr>
                <w:rFonts w:eastAsia="Times New Roman"/>
                <w:color w:val="222222"/>
                <w:lang w:val="en-KR" w:eastAsia="ko-KR"/>
              </w:rPr>
            </w:pPr>
            <w:r w:rsidRPr="00742F8F">
              <w:rPr>
                <w:rFonts w:eastAsia="Times New Roman"/>
                <w:color w:val="222222"/>
                <w:lang w:val="en-KR" w:eastAsia="ko-KR"/>
              </w:rPr>
              <w:t>The proportion of top managers with backgrounds in financial experience, including roles in regulatory bodies, commercial banks, insurance companies, securities companies, fund management companies, securities registration and clearing companies, futures companies, investment banks, trust companies, investment management companies, exchanges, and other relevant financial institutions.</w:t>
            </w:r>
          </w:p>
        </w:tc>
      </w:tr>
      <w:tr w:rsidR="000E3A94" w:rsidRPr="00742F8F" w14:paraId="07FE9A70" w14:textId="77777777" w:rsidTr="00AD715B">
        <w:trPr>
          <w:trHeight w:val="3060"/>
        </w:trPr>
        <w:tc>
          <w:tcPr>
            <w:tcW w:w="1172" w:type="pct"/>
            <w:tcBorders>
              <w:top w:val="nil"/>
              <w:left w:val="nil"/>
              <w:bottom w:val="nil"/>
              <w:right w:val="nil"/>
            </w:tcBorders>
            <w:shd w:val="clear" w:color="auto" w:fill="auto"/>
            <w:vAlign w:val="center"/>
            <w:hideMark/>
          </w:tcPr>
          <w:p w14:paraId="542C9E1F" w14:textId="77777777" w:rsidR="000E3A94" w:rsidRPr="00742F8F" w:rsidRDefault="000E3A94" w:rsidP="00AD715B">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lastRenderedPageBreak/>
              <w:t>AcademicM</w:t>
            </w:r>
          </w:p>
        </w:tc>
        <w:tc>
          <w:tcPr>
            <w:tcW w:w="1566" w:type="pct"/>
            <w:tcBorders>
              <w:top w:val="nil"/>
              <w:left w:val="nil"/>
              <w:bottom w:val="nil"/>
              <w:right w:val="nil"/>
            </w:tcBorders>
            <w:shd w:val="clear" w:color="auto" w:fill="auto"/>
            <w:vAlign w:val="center"/>
            <w:hideMark/>
          </w:tcPr>
          <w:p w14:paraId="4EBAEFF7" w14:textId="77777777" w:rsidR="000E3A94" w:rsidRPr="00742F8F" w:rsidRDefault="000E3A94" w:rsidP="00AD715B">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Academic Background of Top Executives</w:t>
            </w:r>
          </w:p>
        </w:tc>
        <w:tc>
          <w:tcPr>
            <w:tcW w:w="2261" w:type="pct"/>
            <w:tcBorders>
              <w:top w:val="nil"/>
              <w:left w:val="nil"/>
              <w:bottom w:val="nil"/>
              <w:right w:val="nil"/>
            </w:tcBorders>
            <w:shd w:val="clear" w:color="auto" w:fill="auto"/>
            <w:vAlign w:val="center"/>
            <w:hideMark/>
          </w:tcPr>
          <w:p w14:paraId="7494B55D" w14:textId="77777777" w:rsidR="000E3A94" w:rsidRPr="00742F8F" w:rsidRDefault="000E3A94" w:rsidP="00AD715B">
            <w:pPr>
              <w:suppressAutoHyphens w:val="0"/>
              <w:spacing w:line="240" w:lineRule="auto"/>
              <w:rPr>
                <w:rFonts w:eastAsia="Times New Roman"/>
                <w:color w:val="222222"/>
                <w:lang w:val="en-KR" w:eastAsia="ko-KR"/>
              </w:rPr>
            </w:pPr>
            <w:r w:rsidRPr="00742F8F">
              <w:rPr>
                <w:rFonts w:eastAsia="Times New Roman"/>
                <w:color w:val="222222"/>
                <w:lang w:val="en-KR" w:eastAsia="ko-KR"/>
              </w:rPr>
              <w:t>The proportion of top managers possessing an academic background is categorized into distinct areas: teaching experience in higher education, positions held within research institutions, and involvement in research-focused associations.</w:t>
            </w:r>
          </w:p>
        </w:tc>
      </w:tr>
      <w:tr w:rsidR="000E3A94" w:rsidRPr="00742F8F" w14:paraId="2B7B5E42" w14:textId="77777777" w:rsidTr="00AD715B">
        <w:trPr>
          <w:trHeight w:val="1020"/>
        </w:trPr>
        <w:tc>
          <w:tcPr>
            <w:tcW w:w="1172" w:type="pct"/>
            <w:tcBorders>
              <w:top w:val="nil"/>
              <w:left w:val="nil"/>
              <w:bottom w:val="single" w:sz="4" w:space="0" w:color="auto"/>
              <w:right w:val="nil"/>
            </w:tcBorders>
            <w:shd w:val="clear" w:color="auto" w:fill="auto"/>
            <w:vAlign w:val="center"/>
            <w:hideMark/>
          </w:tcPr>
          <w:p w14:paraId="4D777282" w14:textId="77777777" w:rsidR="000E3A94" w:rsidRPr="00742F8F" w:rsidRDefault="000E3A94" w:rsidP="00AD715B">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Degree</w:t>
            </w:r>
          </w:p>
        </w:tc>
        <w:tc>
          <w:tcPr>
            <w:tcW w:w="1566" w:type="pct"/>
            <w:tcBorders>
              <w:top w:val="nil"/>
              <w:left w:val="nil"/>
              <w:bottom w:val="single" w:sz="4" w:space="0" w:color="auto"/>
              <w:right w:val="nil"/>
            </w:tcBorders>
            <w:shd w:val="clear" w:color="auto" w:fill="auto"/>
            <w:vAlign w:val="center"/>
            <w:hideMark/>
          </w:tcPr>
          <w:p w14:paraId="7A70CB6D" w14:textId="77777777" w:rsidR="000E3A94" w:rsidRPr="00742F8F" w:rsidRDefault="000E3A94" w:rsidP="00AD715B">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Higher Education degree of employees</w:t>
            </w:r>
          </w:p>
        </w:tc>
        <w:tc>
          <w:tcPr>
            <w:tcW w:w="2261" w:type="pct"/>
            <w:tcBorders>
              <w:top w:val="nil"/>
              <w:left w:val="nil"/>
              <w:bottom w:val="single" w:sz="4" w:space="0" w:color="auto"/>
              <w:right w:val="nil"/>
            </w:tcBorders>
            <w:shd w:val="clear" w:color="auto" w:fill="auto"/>
            <w:vAlign w:val="center"/>
            <w:hideMark/>
          </w:tcPr>
          <w:p w14:paraId="54390B82" w14:textId="77777777" w:rsidR="000E3A94" w:rsidRPr="00742F8F" w:rsidRDefault="000E3A94" w:rsidP="00AD715B">
            <w:pPr>
              <w:suppressAutoHyphens w:val="0"/>
              <w:spacing w:line="240" w:lineRule="auto"/>
              <w:rPr>
                <w:rFonts w:eastAsia="Times New Roman"/>
                <w:color w:val="222222"/>
                <w:lang w:val="en-KR" w:eastAsia="ko-KR"/>
              </w:rPr>
            </w:pPr>
            <w:r w:rsidRPr="00742F8F">
              <w:rPr>
                <w:rFonts w:eastAsia="Times New Roman"/>
                <w:color w:val="222222"/>
                <w:lang w:val="en-KR" w:eastAsia="ko-KR"/>
              </w:rPr>
              <w:t>The absolute number of employees with higher education</w:t>
            </w:r>
          </w:p>
        </w:tc>
      </w:tr>
    </w:tbl>
    <w:p w14:paraId="36DBD043" w14:textId="77777777" w:rsidR="000E3A94" w:rsidRDefault="000E3A94" w:rsidP="000E3A94">
      <w:pPr>
        <w:spacing w:line="240" w:lineRule="auto"/>
        <w:rPr>
          <w:color w:val="000000" w:themeColor="text1"/>
        </w:rPr>
      </w:pPr>
    </w:p>
    <w:p w14:paraId="29D15C5A" w14:textId="77777777" w:rsidR="000E3A94" w:rsidRDefault="000E3A94" w:rsidP="000E3A94">
      <w:pPr>
        <w:rPr>
          <w:b/>
          <w:bCs/>
          <w:color w:val="000000" w:themeColor="text1"/>
        </w:rPr>
        <w:sectPr w:rsidR="000E3A94" w:rsidSect="000E3A94">
          <w:pgSz w:w="12240" w:h="15840" w:code="1"/>
          <w:pgMar w:top="1440" w:right="1440" w:bottom="1440" w:left="1440" w:header="720" w:footer="720" w:gutter="0"/>
          <w:pgNumType w:start="1"/>
          <w:cols w:space="720"/>
          <w:docGrid w:linePitch="360"/>
        </w:sectPr>
      </w:pPr>
    </w:p>
    <w:p w14:paraId="5FD0C382" w14:textId="77777777" w:rsidR="000E3A94" w:rsidRPr="00172AD7" w:rsidRDefault="000E3A94" w:rsidP="000E3A94">
      <w:pPr>
        <w:rPr>
          <w:b/>
          <w:bCs/>
          <w:color w:val="000000" w:themeColor="text1"/>
        </w:rPr>
      </w:pPr>
      <w:r w:rsidRPr="00172AD7">
        <w:rPr>
          <w:b/>
          <w:bCs/>
          <w:color w:val="000000" w:themeColor="text1"/>
        </w:rPr>
        <w:lastRenderedPageBreak/>
        <w:t xml:space="preserve">Table </w:t>
      </w:r>
      <w:r>
        <w:rPr>
          <w:b/>
          <w:bCs/>
          <w:color w:val="000000" w:themeColor="text1"/>
        </w:rPr>
        <w:t>2</w:t>
      </w:r>
    </w:p>
    <w:p w14:paraId="66E931C2" w14:textId="77777777" w:rsidR="000E3A94" w:rsidRPr="00172AD7" w:rsidRDefault="000E3A94" w:rsidP="000E3A94">
      <w:pPr>
        <w:rPr>
          <w:i/>
          <w:iCs/>
          <w:color w:val="000000" w:themeColor="text1"/>
        </w:rPr>
      </w:pPr>
      <w:r>
        <w:rPr>
          <w:i/>
          <w:iCs/>
          <w:color w:val="000000" w:themeColor="text1"/>
        </w:rPr>
        <w:t>Descriptive Statistics of the Variables</w:t>
      </w:r>
    </w:p>
    <w:tbl>
      <w:tblPr>
        <w:tblW w:w="7800" w:type="dxa"/>
        <w:tblInd w:w="108" w:type="dxa"/>
        <w:tblLook w:val="04A0" w:firstRow="1" w:lastRow="0" w:firstColumn="1" w:lastColumn="0" w:noHBand="0" w:noVBand="1"/>
      </w:tblPr>
      <w:tblGrid>
        <w:gridCol w:w="1363"/>
        <w:gridCol w:w="1287"/>
        <w:gridCol w:w="1285"/>
        <w:gridCol w:w="1288"/>
        <w:gridCol w:w="1285"/>
        <w:gridCol w:w="1292"/>
      </w:tblGrid>
      <w:tr w:rsidR="000E3A94" w:rsidRPr="002D6B35" w14:paraId="49D15FF5" w14:textId="77777777" w:rsidTr="00AD715B">
        <w:trPr>
          <w:trHeight w:val="340"/>
        </w:trPr>
        <w:tc>
          <w:tcPr>
            <w:tcW w:w="1300" w:type="dxa"/>
            <w:tcBorders>
              <w:top w:val="single" w:sz="4" w:space="0" w:color="auto"/>
              <w:left w:val="nil"/>
              <w:bottom w:val="single" w:sz="4" w:space="0" w:color="auto"/>
              <w:right w:val="nil"/>
            </w:tcBorders>
            <w:shd w:val="clear" w:color="auto" w:fill="auto"/>
            <w:vAlign w:val="center"/>
            <w:hideMark/>
          </w:tcPr>
          <w:p w14:paraId="1B26D005" w14:textId="77777777" w:rsidR="000E3A94" w:rsidRPr="002D6B35" w:rsidRDefault="000E3A94" w:rsidP="00AD715B">
            <w:pPr>
              <w:suppressAutoHyphens w:val="0"/>
              <w:spacing w:line="240" w:lineRule="auto"/>
              <w:jc w:val="center"/>
              <w:rPr>
                <w:rFonts w:eastAsia="Times New Roman"/>
                <w:color w:val="000000"/>
                <w:lang w:val="en-KR" w:eastAsia="ko-KR"/>
              </w:rPr>
            </w:pPr>
            <w:r w:rsidRPr="002D6B35">
              <w:rPr>
                <w:rFonts w:eastAsia="Times New Roman"/>
                <w:color w:val="000000"/>
                <w:lang w:eastAsia="ko-KR"/>
              </w:rPr>
              <w:t>Variables</w:t>
            </w:r>
          </w:p>
        </w:tc>
        <w:tc>
          <w:tcPr>
            <w:tcW w:w="1300" w:type="dxa"/>
            <w:tcBorders>
              <w:top w:val="single" w:sz="4" w:space="0" w:color="auto"/>
              <w:left w:val="nil"/>
              <w:bottom w:val="single" w:sz="4" w:space="0" w:color="auto"/>
              <w:right w:val="nil"/>
            </w:tcBorders>
            <w:shd w:val="clear" w:color="auto" w:fill="auto"/>
            <w:vAlign w:val="center"/>
            <w:hideMark/>
          </w:tcPr>
          <w:p w14:paraId="3B0722EA" w14:textId="77777777" w:rsidR="000E3A94" w:rsidRPr="002D6B35" w:rsidRDefault="000E3A94" w:rsidP="00AD715B">
            <w:pPr>
              <w:suppressAutoHyphens w:val="0"/>
              <w:spacing w:line="240" w:lineRule="auto"/>
              <w:jc w:val="center"/>
              <w:rPr>
                <w:rFonts w:eastAsia="Times New Roman"/>
                <w:color w:val="000000"/>
                <w:lang w:val="en-KR" w:eastAsia="ko-KR"/>
              </w:rPr>
            </w:pPr>
            <w:proofErr w:type="spellStart"/>
            <w:r w:rsidRPr="002D6B35">
              <w:rPr>
                <w:rFonts w:eastAsia="Times New Roman"/>
                <w:color w:val="000000"/>
                <w:lang w:eastAsia="ko-KR"/>
              </w:rPr>
              <w:t>Obs</w:t>
            </w:r>
            <w:proofErr w:type="spellEnd"/>
          </w:p>
        </w:tc>
        <w:tc>
          <w:tcPr>
            <w:tcW w:w="1300" w:type="dxa"/>
            <w:tcBorders>
              <w:top w:val="single" w:sz="4" w:space="0" w:color="auto"/>
              <w:left w:val="nil"/>
              <w:bottom w:val="single" w:sz="4" w:space="0" w:color="auto"/>
              <w:right w:val="nil"/>
            </w:tcBorders>
            <w:shd w:val="clear" w:color="auto" w:fill="auto"/>
            <w:vAlign w:val="center"/>
            <w:hideMark/>
          </w:tcPr>
          <w:p w14:paraId="1BD32F58" w14:textId="77777777" w:rsidR="000E3A94" w:rsidRPr="002D6B35" w:rsidRDefault="000E3A94" w:rsidP="00AD715B">
            <w:pPr>
              <w:suppressAutoHyphens w:val="0"/>
              <w:spacing w:line="240" w:lineRule="auto"/>
              <w:jc w:val="center"/>
              <w:rPr>
                <w:rFonts w:eastAsia="Times New Roman"/>
                <w:color w:val="000000"/>
                <w:lang w:val="en-KR" w:eastAsia="ko-KR"/>
              </w:rPr>
            </w:pPr>
            <w:r w:rsidRPr="002D6B35">
              <w:rPr>
                <w:rFonts w:eastAsia="Times New Roman"/>
                <w:color w:val="000000"/>
                <w:lang w:eastAsia="ko-KR"/>
              </w:rPr>
              <w:t>Mean</w:t>
            </w:r>
          </w:p>
        </w:tc>
        <w:tc>
          <w:tcPr>
            <w:tcW w:w="1300" w:type="dxa"/>
            <w:tcBorders>
              <w:top w:val="single" w:sz="4" w:space="0" w:color="auto"/>
              <w:left w:val="nil"/>
              <w:bottom w:val="single" w:sz="4" w:space="0" w:color="auto"/>
              <w:right w:val="nil"/>
            </w:tcBorders>
            <w:shd w:val="clear" w:color="auto" w:fill="auto"/>
            <w:vAlign w:val="center"/>
            <w:hideMark/>
          </w:tcPr>
          <w:p w14:paraId="0FCC0FA0" w14:textId="77777777" w:rsidR="000E3A94" w:rsidRPr="002D6B35" w:rsidRDefault="000E3A94" w:rsidP="00AD715B">
            <w:pPr>
              <w:suppressAutoHyphens w:val="0"/>
              <w:spacing w:line="240" w:lineRule="auto"/>
              <w:jc w:val="center"/>
              <w:rPr>
                <w:rFonts w:eastAsia="Times New Roman"/>
                <w:color w:val="000000"/>
                <w:lang w:val="en-KR" w:eastAsia="ko-KR"/>
              </w:rPr>
            </w:pPr>
            <w:r w:rsidRPr="002D6B35">
              <w:rPr>
                <w:rFonts w:eastAsia="Times New Roman"/>
                <w:color w:val="000000"/>
                <w:lang w:eastAsia="ko-KR"/>
              </w:rPr>
              <w:t>Std. Dev.</w:t>
            </w:r>
          </w:p>
        </w:tc>
        <w:tc>
          <w:tcPr>
            <w:tcW w:w="1300" w:type="dxa"/>
            <w:tcBorders>
              <w:top w:val="single" w:sz="4" w:space="0" w:color="auto"/>
              <w:left w:val="nil"/>
              <w:bottom w:val="single" w:sz="4" w:space="0" w:color="auto"/>
              <w:right w:val="nil"/>
            </w:tcBorders>
            <w:shd w:val="clear" w:color="auto" w:fill="auto"/>
            <w:vAlign w:val="center"/>
            <w:hideMark/>
          </w:tcPr>
          <w:p w14:paraId="228019A2" w14:textId="77777777" w:rsidR="000E3A94" w:rsidRPr="002D6B35" w:rsidRDefault="000E3A94" w:rsidP="00AD715B">
            <w:pPr>
              <w:suppressAutoHyphens w:val="0"/>
              <w:spacing w:line="240" w:lineRule="auto"/>
              <w:jc w:val="center"/>
              <w:rPr>
                <w:rFonts w:eastAsia="Times New Roman"/>
                <w:color w:val="000000"/>
                <w:lang w:val="en-KR" w:eastAsia="ko-KR"/>
              </w:rPr>
            </w:pPr>
            <w:r w:rsidRPr="002D6B35">
              <w:rPr>
                <w:rFonts w:eastAsia="Times New Roman"/>
                <w:color w:val="000000"/>
                <w:lang w:eastAsia="ko-KR"/>
              </w:rPr>
              <w:t>Min</w:t>
            </w:r>
          </w:p>
        </w:tc>
        <w:tc>
          <w:tcPr>
            <w:tcW w:w="1300" w:type="dxa"/>
            <w:tcBorders>
              <w:top w:val="single" w:sz="4" w:space="0" w:color="auto"/>
              <w:left w:val="nil"/>
              <w:bottom w:val="single" w:sz="4" w:space="0" w:color="auto"/>
              <w:right w:val="nil"/>
            </w:tcBorders>
            <w:shd w:val="clear" w:color="auto" w:fill="auto"/>
            <w:vAlign w:val="center"/>
            <w:hideMark/>
          </w:tcPr>
          <w:p w14:paraId="276431A5" w14:textId="77777777" w:rsidR="000E3A94" w:rsidRPr="002D6B35" w:rsidRDefault="000E3A94" w:rsidP="00AD715B">
            <w:pPr>
              <w:suppressAutoHyphens w:val="0"/>
              <w:spacing w:line="240" w:lineRule="auto"/>
              <w:jc w:val="center"/>
              <w:rPr>
                <w:rFonts w:eastAsia="Times New Roman"/>
                <w:color w:val="000000"/>
                <w:lang w:val="en-KR" w:eastAsia="ko-KR"/>
              </w:rPr>
            </w:pPr>
            <w:r w:rsidRPr="002D6B35">
              <w:rPr>
                <w:rFonts w:eastAsia="Times New Roman"/>
                <w:color w:val="000000"/>
                <w:lang w:eastAsia="ko-KR"/>
              </w:rPr>
              <w:t>Max</w:t>
            </w:r>
          </w:p>
        </w:tc>
      </w:tr>
      <w:tr w:rsidR="000E3A94" w:rsidRPr="002D6B35" w14:paraId="308A8E97" w14:textId="77777777" w:rsidTr="00AD715B">
        <w:trPr>
          <w:trHeight w:val="340"/>
        </w:trPr>
        <w:tc>
          <w:tcPr>
            <w:tcW w:w="1300" w:type="dxa"/>
            <w:tcBorders>
              <w:top w:val="nil"/>
              <w:left w:val="nil"/>
              <w:bottom w:val="nil"/>
              <w:right w:val="nil"/>
            </w:tcBorders>
            <w:shd w:val="clear" w:color="auto" w:fill="auto"/>
            <w:vAlign w:val="center"/>
            <w:hideMark/>
          </w:tcPr>
          <w:p w14:paraId="005B0BC1" w14:textId="77777777" w:rsidR="000E3A94" w:rsidRPr="002D6B35" w:rsidRDefault="000E3A94" w:rsidP="00AD715B">
            <w:pPr>
              <w:suppressAutoHyphens w:val="0"/>
              <w:spacing w:line="240" w:lineRule="auto"/>
              <w:rPr>
                <w:rFonts w:eastAsia="Times New Roman"/>
                <w:i/>
                <w:iCs/>
                <w:color w:val="000000"/>
                <w:lang w:val="en-KR" w:eastAsia="ko-KR"/>
              </w:rPr>
            </w:pPr>
            <w:proofErr w:type="spellStart"/>
            <w:r w:rsidRPr="002D6B35">
              <w:rPr>
                <w:rFonts w:eastAsia="Times New Roman"/>
                <w:i/>
                <w:iCs/>
                <w:color w:val="000000"/>
                <w:lang w:eastAsia="ko-KR"/>
              </w:rPr>
              <w:t>Degreep</w:t>
            </w:r>
            <w:proofErr w:type="spellEnd"/>
          </w:p>
        </w:tc>
        <w:tc>
          <w:tcPr>
            <w:tcW w:w="1300" w:type="dxa"/>
            <w:tcBorders>
              <w:top w:val="nil"/>
              <w:left w:val="nil"/>
              <w:bottom w:val="nil"/>
              <w:right w:val="nil"/>
            </w:tcBorders>
            <w:shd w:val="clear" w:color="auto" w:fill="auto"/>
            <w:vAlign w:val="center"/>
            <w:hideMark/>
          </w:tcPr>
          <w:p w14:paraId="3FDEA51C"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24942</w:t>
            </w:r>
          </w:p>
        </w:tc>
        <w:tc>
          <w:tcPr>
            <w:tcW w:w="1300" w:type="dxa"/>
            <w:tcBorders>
              <w:top w:val="nil"/>
              <w:left w:val="nil"/>
              <w:bottom w:val="nil"/>
              <w:right w:val="nil"/>
            </w:tcBorders>
            <w:shd w:val="clear" w:color="auto" w:fill="auto"/>
            <w:vAlign w:val="center"/>
            <w:hideMark/>
          </w:tcPr>
          <w:p w14:paraId="5B70ED47"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5.259</w:t>
            </w:r>
          </w:p>
        </w:tc>
        <w:tc>
          <w:tcPr>
            <w:tcW w:w="1300" w:type="dxa"/>
            <w:tcBorders>
              <w:top w:val="nil"/>
              <w:left w:val="nil"/>
              <w:bottom w:val="nil"/>
              <w:right w:val="nil"/>
            </w:tcBorders>
            <w:shd w:val="clear" w:color="auto" w:fill="auto"/>
            <w:vAlign w:val="center"/>
            <w:hideMark/>
          </w:tcPr>
          <w:p w14:paraId="164B974F"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7.155</w:t>
            </w:r>
          </w:p>
        </w:tc>
        <w:tc>
          <w:tcPr>
            <w:tcW w:w="1300" w:type="dxa"/>
            <w:tcBorders>
              <w:top w:val="nil"/>
              <w:left w:val="nil"/>
              <w:bottom w:val="nil"/>
              <w:right w:val="nil"/>
            </w:tcBorders>
            <w:shd w:val="clear" w:color="auto" w:fill="auto"/>
            <w:vAlign w:val="center"/>
            <w:hideMark/>
          </w:tcPr>
          <w:p w14:paraId="6CF8755B"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0.010</w:t>
            </w:r>
          </w:p>
        </w:tc>
        <w:tc>
          <w:tcPr>
            <w:tcW w:w="1300" w:type="dxa"/>
            <w:tcBorders>
              <w:top w:val="nil"/>
              <w:left w:val="nil"/>
              <w:bottom w:val="nil"/>
              <w:right w:val="nil"/>
            </w:tcBorders>
            <w:shd w:val="clear" w:color="auto" w:fill="auto"/>
            <w:vAlign w:val="center"/>
            <w:hideMark/>
          </w:tcPr>
          <w:p w14:paraId="12BB2517"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81.270</w:t>
            </w:r>
          </w:p>
        </w:tc>
      </w:tr>
      <w:tr w:rsidR="000E3A94" w:rsidRPr="002D6B35" w14:paraId="4EE4643A" w14:textId="77777777" w:rsidTr="00AD715B">
        <w:trPr>
          <w:trHeight w:val="340"/>
        </w:trPr>
        <w:tc>
          <w:tcPr>
            <w:tcW w:w="1300" w:type="dxa"/>
            <w:tcBorders>
              <w:top w:val="nil"/>
              <w:left w:val="nil"/>
              <w:bottom w:val="nil"/>
              <w:right w:val="nil"/>
            </w:tcBorders>
            <w:shd w:val="clear" w:color="auto" w:fill="auto"/>
            <w:vAlign w:val="center"/>
            <w:hideMark/>
          </w:tcPr>
          <w:p w14:paraId="4E8D0947" w14:textId="77777777" w:rsidR="000E3A94" w:rsidRPr="002D6B35" w:rsidRDefault="000E3A94" w:rsidP="00AD715B">
            <w:pPr>
              <w:suppressAutoHyphens w:val="0"/>
              <w:spacing w:line="240" w:lineRule="auto"/>
              <w:rPr>
                <w:rFonts w:eastAsia="Times New Roman"/>
                <w:i/>
                <w:iCs/>
                <w:color w:val="000000"/>
                <w:lang w:val="en-KR" w:eastAsia="ko-KR"/>
              </w:rPr>
            </w:pPr>
            <w:r w:rsidRPr="002D6B35">
              <w:rPr>
                <w:rFonts w:eastAsia="Times New Roman"/>
                <w:i/>
                <w:iCs/>
                <w:color w:val="000000"/>
                <w:lang w:eastAsia="ko-KR"/>
              </w:rPr>
              <w:t>Total</w:t>
            </w:r>
          </w:p>
        </w:tc>
        <w:tc>
          <w:tcPr>
            <w:tcW w:w="1300" w:type="dxa"/>
            <w:tcBorders>
              <w:top w:val="nil"/>
              <w:left w:val="nil"/>
              <w:bottom w:val="nil"/>
              <w:right w:val="nil"/>
            </w:tcBorders>
            <w:shd w:val="clear" w:color="auto" w:fill="auto"/>
            <w:vAlign w:val="center"/>
            <w:hideMark/>
          </w:tcPr>
          <w:p w14:paraId="13A9BB24"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24942</w:t>
            </w:r>
          </w:p>
        </w:tc>
        <w:tc>
          <w:tcPr>
            <w:tcW w:w="1300" w:type="dxa"/>
            <w:tcBorders>
              <w:top w:val="nil"/>
              <w:left w:val="nil"/>
              <w:bottom w:val="nil"/>
              <w:right w:val="nil"/>
            </w:tcBorders>
            <w:shd w:val="clear" w:color="auto" w:fill="auto"/>
            <w:vAlign w:val="center"/>
            <w:hideMark/>
          </w:tcPr>
          <w:p w14:paraId="717D1F74"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0.753</w:t>
            </w:r>
          </w:p>
        </w:tc>
        <w:tc>
          <w:tcPr>
            <w:tcW w:w="1300" w:type="dxa"/>
            <w:tcBorders>
              <w:top w:val="nil"/>
              <w:left w:val="nil"/>
              <w:bottom w:val="nil"/>
              <w:right w:val="nil"/>
            </w:tcBorders>
            <w:shd w:val="clear" w:color="auto" w:fill="auto"/>
            <w:vAlign w:val="center"/>
            <w:hideMark/>
          </w:tcPr>
          <w:p w14:paraId="682C9B00"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1.117</w:t>
            </w:r>
          </w:p>
        </w:tc>
        <w:tc>
          <w:tcPr>
            <w:tcW w:w="1300" w:type="dxa"/>
            <w:tcBorders>
              <w:top w:val="nil"/>
              <w:left w:val="nil"/>
              <w:bottom w:val="nil"/>
              <w:right w:val="nil"/>
            </w:tcBorders>
            <w:shd w:val="clear" w:color="auto" w:fill="auto"/>
            <w:vAlign w:val="center"/>
            <w:hideMark/>
          </w:tcPr>
          <w:p w14:paraId="12434491"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0.000</w:t>
            </w:r>
          </w:p>
        </w:tc>
        <w:tc>
          <w:tcPr>
            <w:tcW w:w="1300" w:type="dxa"/>
            <w:tcBorders>
              <w:top w:val="nil"/>
              <w:left w:val="nil"/>
              <w:bottom w:val="nil"/>
              <w:right w:val="nil"/>
            </w:tcBorders>
            <w:shd w:val="clear" w:color="auto" w:fill="auto"/>
            <w:vAlign w:val="center"/>
            <w:hideMark/>
          </w:tcPr>
          <w:p w14:paraId="39AA21ED"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6.120</w:t>
            </w:r>
          </w:p>
        </w:tc>
      </w:tr>
      <w:tr w:rsidR="000E3A94" w:rsidRPr="002D6B35" w14:paraId="0E537590" w14:textId="77777777" w:rsidTr="00AD715B">
        <w:trPr>
          <w:trHeight w:val="340"/>
        </w:trPr>
        <w:tc>
          <w:tcPr>
            <w:tcW w:w="1300" w:type="dxa"/>
            <w:tcBorders>
              <w:top w:val="nil"/>
              <w:left w:val="nil"/>
              <w:bottom w:val="nil"/>
              <w:right w:val="nil"/>
            </w:tcBorders>
            <w:shd w:val="clear" w:color="auto" w:fill="auto"/>
            <w:vAlign w:val="center"/>
            <w:hideMark/>
          </w:tcPr>
          <w:p w14:paraId="2AE5EAD3" w14:textId="77777777" w:rsidR="000E3A94" w:rsidRPr="002D6B35" w:rsidRDefault="000E3A94" w:rsidP="00AD715B">
            <w:pPr>
              <w:suppressAutoHyphens w:val="0"/>
              <w:spacing w:line="240" w:lineRule="auto"/>
              <w:rPr>
                <w:rFonts w:eastAsia="Times New Roman"/>
                <w:i/>
                <w:iCs/>
                <w:color w:val="000000"/>
                <w:lang w:val="en-KR" w:eastAsia="ko-KR"/>
              </w:rPr>
            </w:pPr>
            <w:r w:rsidRPr="002D6B35">
              <w:rPr>
                <w:rFonts w:eastAsia="Times New Roman"/>
                <w:i/>
                <w:iCs/>
                <w:color w:val="000000"/>
                <w:lang w:eastAsia="ko-KR"/>
              </w:rPr>
              <w:t>ROA</w:t>
            </w:r>
          </w:p>
        </w:tc>
        <w:tc>
          <w:tcPr>
            <w:tcW w:w="1300" w:type="dxa"/>
            <w:tcBorders>
              <w:top w:val="nil"/>
              <w:left w:val="nil"/>
              <w:bottom w:val="nil"/>
              <w:right w:val="nil"/>
            </w:tcBorders>
            <w:shd w:val="clear" w:color="auto" w:fill="auto"/>
            <w:vAlign w:val="center"/>
            <w:hideMark/>
          </w:tcPr>
          <w:p w14:paraId="516E6DC1"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24942</w:t>
            </w:r>
          </w:p>
        </w:tc>
        <w:tc>
          <w:tcPr>
            <w:tcW w:w="1300" w:type="dxa"/>
            <w:tcBorders>
              <w:top w:val="nil"/>
              <w:left w:val="nil"/>
              <w:bottom w:val="nil"/>
              <w:right w:val="nil"/>
            </w:tcBorders>
            <w:shd w:val="clear" w:color="auto" w:fill="auto"/>
            <w:vAlign w:val="center"/>
            <w:hideMark/>
          </w:tcPr>
          <w:p w14:paraId="14755B6F"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0.048</w:t>
            </w:r>
          </w:p>
        </w:tc>
        <w:tc>
          <w:tcPr>
            <w:tcW w:w="1300" w:type="dxa"/>
            <w:tcBorders>
              <w:top w:val="nil"/>
              <w:left w:val="nil"/>
              <w:bottom w:val="nil"/>
              <w:right w:val="nil"/>
            </w:tcBorders>
            <w:shd w:val="clear" w:color="auto" w:fill="auto"/>
            <w:vAlign w:val="center"/>
            <w:hideMark/>
          </w:tcPr>
          <w:p w14:paraId="75416E63"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0.184</w:t>
            </w:r>
          </w:p>
        </w:tc>
        <w:tc>
          <w:tcPr>
            <w:tcW w:w="1300" w:type="dxa"/>
            <w:tcBorders>
              <w:top w:val="nil"/>
              <w:left w:val="nil"/>
              <w:bottom w:val="nil"/>
              <w:right w:val="nil"/>
            </w:tcBorders>
            <w:shd w:val="clear" w:color="auto" w:fill="auto"/>
            <w:vAlign w:val="center"/>
            <w:hideMark/>
          </w:tcPr>
          <w:p w14:paraId="6A34CD97"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-3.324</w:t>
            </w:r>
          </w:p>
        </w:tc>
        <w:tc>
          <w:tcPr>
            <w:tcW w:w="1300" w:type="dxa"/>
            <w:tcBorders>
              <w:top w:val="nil"/>
              <w:left w:val="nil"/>
              <w:bottom w:val="nil"/>
              <w:right w:val="nil"/>
            </w:tcBorders>
            <w:shd w:val="clear" w:color="auto" w:fill="auto"/>
            <w:vAlign w:val="center"/>
            <w:hideMark/>
          </w:tcPr>
          <w:p w14:paraId="06BFFCD7"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22.003</w:t>
            </w:r>
          </w:p>
        </w:tc>
      </w:tr>
      <w:tr w:rsidR="000E3A94" w:rsidRPr="002D6B35" w14:paraId="0588BAB5" w14:textId="77777777" w:rsidTr="00AD715B">
        <w:trPr>
          <w:trHeight w:val="340"/>
        </w:trPr>
        <w:tc>
          <w:tcPr>
            <w:tcW w:w="1300" w:type="dxa"/>
            <w:tcBorders>
              <w:top w:val="nil"/>
              <w:left w:val="nil"/>
              <w:bottom w:val="nil"/>
              <w:right w:val="nil"/>
            </w:tcBorders>
            <w:shd w:val="clear" w:color="auto" w:fill="auto"/>
            <w:vAlign w:val="center"/>
            <w:hideMark/>
          </w:tcPr>
          <w:p w14:paraId="32D1C44B" w14:textId="77777777" w:rsidR="000E3A94" w:rsidRPr="002D6B35" w:rsidRDefault="000E3A94" w:rsidP="00AD715B">
            <w:pPr>
              <w:suppressAutoHyphens w:val="0"/>
              <w:spacing w:line="240" w:lineRule="auto"/>
              <w:rPr>
                <w:rFonts w:eastAsia="Times New Roman"/>
                <w:i/>
                <w:iCs/>
                <w:color w:val="000000"/>
                <w:lang w:val="en-KR" w:eastAsia="ko-KR"/>
              </w:rPr>
            </w:pPr>
            <w:r w:rsidRPr="002D6B35">
              <w:rPr>
                <w:rFonts w:eastAsia="Times New Roman"/>
                <w:i/>
                <w:iCs/>
                <w:color w:val="000000"/>
                <w:lang w:eastAsia="ko-KR"/>
              </w:rPr>
              <w:t>Solvency</w:t>
            </w:r>
          </w:p>
        </w:tc>
        <w:tc>
          <w:tcPr>
            <w:tcW w:w="1300" w:type="dxa"/>
            <w:tcBorders>
              <w:top w:val="nil"/>
              <w:left w:val="nil"/>
              <w:bottom w:val="nil"/>
              <w:right w:val="nil"/>
            </w:tcBorders>
            <w:shd w:val="clear" w:color="auto" w:fill="auto"/>
            <w:vAlign w:val="center"/>
            <w:hideMark/>
          </w:tcPr>
          <w:p w14:paraId="346446D1"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24942</w:t>
            </w:r>
          </w:p>
        </w:tc>
        <w:tc>
          <w:tcPr>
            <w:tcW w:w="1300" w:type="dxa"/>
            <w:tcBorders>
              <w:top w:val="nil"/>
              <w:left w:val="nil"/>
              <w:bottom w:val="nil"/>
              <w:right w:val="nil"/>
            </w:tcBorders>
            <w:shd w:val="clear" w:color="auto" w:fill="auto"/>
            <w:vAlign w:val="center"/>
            <w:hideMark/>
          </w:tcPr>
          <w:p w14:paraId="05FD840A"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0.294</w:t>
            </w:r>
          </w:p>
        </w:tc>
        <w:tc>
          <w:tcPr>
            <w:tcW w:w="1300" w:type="dxa"/>
            <w:tcBorders>
              <w:top w:val="nil"/>
              <w:left w:val="nil"/>
              <w:bottom w:val="nil"/>
              <w:right w:val="nil"/>
            </w:tcBorders>
            <w:shd w:val="clear" w:color="auto" w:fill="auto"/>
            <w:vAlign w:val="center"/>
            <w:hideMark/>
          </w:tcPr>
          <w:p w14:paraId="69BF2B61"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1.910</w:t>
            </w:r>
          </w:p>
        </w:tc>
        <w:tc>
          <w:tcPr>
            <w:tcW w:w="1300" w:type="dxa"/>
            <w:tcBorders>
              <w:top w:val="nil"/>
              <w:left w:val="nil"/>
              <w:bottom w:val="nil"/>
              <w:right w:val="nil"/>
            </w:tcBorders>
            <w:shd w:val="clear" w:color="auto" w:fill="auto"/>
            <w:vAlign w:val="center"/>
            <w:hideMark/>
          </w:tcPr>
          <w:p w14:paraId="65F00778"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0.000</w:t>
            </w:r>
          </w:p>
        </w:tc>
        <w:tc>
          <w:tcPr>
            <w:tcW w:w="1300" w:type="dxa"/>
            <w:tcBorders>
              <w:top w:val="nil"/>
              <w:left w:val="nil"/>
              <w:bottom w:val="nil"/>
              <w:right w:val="nil"/>
            </w:tcBorders>
            <w:shd w:val="clear" w:color="auto" w:fill="auto"/>
            <w:vAlign w:val="center"/>
            <w:hideMark/>
          </w:tcPr>
          <w:p w14:paraId="445B81A0"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232.785</w:t>
            </w:r>
          </w:p>
        </w:tc>
      </w:tr>
      <w:tr w:rsidR="000E3A94" w:rsidRPr="002D6B35" w14:paraId="2538BAAC" w14:textId="77777777" w:rsidTr="00AD715B">
        <w:trPr>
          <w:trHeight w:val="340"/>
        </w:trPr>
        <w:tc>
          <w:tcPr>
            <w:tcW w:w="1300" w:type="dxa"/>
            <w:tcBorders>
              <w:top w:val="nil"/>
              <w:left w:val="nil"/>
              <w:bottom w:val="nil"/>
              <w:right w:val="nil"/>
            </w:tcBorders>
            <w:shd w:val="clear" w:color="auto" w:fill="auto"/>
            <w:vAlign w:val="center"/>
            <w:hideMark/>
          </w:tcPr>
          <w:p w14:paraId="696F7496" w14:textId="77777777" w:rsidR="000E3A94" w:rsidRPr="002D6B35" w:rsidRDefault="000E3A94" w:rsidP="00AD715B">
            <w:pPr>
              <w:suppressAutoHyphens w:val="0"/>
              <w:spacing w:line="240" w:lineRule="auto"/>
              <w:rPr>
                <w:rFonts w:eastAsia="Times New Roman"/>
                <w:i/>
                <w:iCs/>
                <w:color w:val="000000"/>
                <w:lang w:val="en-KR" w:eastAsia="ko-KR"/>
              </w:rPr>
            </w:pPr>
            <w:r w:rsidRPr="002D6B35">
              <w:rPr>
                <w:rFonts w:eastAsia="Times New Roman"/>
                <w:i/>
                <w:iCs/>
                <w:color w:val="000000"/>
                <w:lang w:eastAsia="ko-KR"/>
              </w:rPr>
              <w:t>Age</w:t>
            </w:r>
          </w:p>
        </w:tc>
        <w:tc>
          <w:tcPr>
            <w:tcW w:w="1300" w:type="dxa"/>
            <w:tcBorders>
              <w:top w:val="nil"/>
              <w:left w:val="nil"/>
              <w:bottom w:val="nil"/>
              <w:right w:val="nil"/>
            </w:tcBorders>
            <w:shd w:val="clear" w:color="auto" w:fill="auto"/>
            <w:vAlign w:val="center"/>
            <w:hideMark/>
          </w:tcPr>
          <w:p w14:paraId="73D89F97"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24942</w:t>
            </w:r>
          </w:p>
        </w:tc>
        <w:tc>
          <w:tcPr>
            <w:tcW w:w="1300" w:type="dxa"/>
            <w:tcBorders>
              <w:top w:val="nil"/>
              <w:left w:val="nil"/>
              <w:bottom w:val="nil"/>
              <w:right w:val="nil"/>
            </w:tcBorders>
            <w:shd w:val="clear" w:color="auto" w:fill="auto"/>
            <w:vAlign w:val="center"/>
            <w:hideMark/>
          </w:tcPr>
          <w:p w14:paraId="586F62C8"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2.018</w:t>
            </w:r>
          </w:p>
        </w:tc>
        <w:tc>
          <w:tcPr>
            <w:tcW w:w="1300" w:type="dxa"/>
            <w:tcBorders>
              <w:top w:val="nil"/>
              <w:left w:val="nil"/>
              <w:bottom w:val="nil"/>
              <w:right w:val="nil"/>
            </w:tcBorders>
            <w:shd w:val="clear" w:color="auto" w:fill="auto"/>
            <w:vAlign w:val="center"/>
            <w:hideMark/>
          </w:tcPr>
          <w:p w14:paraId="442D8752"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0.960</w:t>
            </w:r>
          </w:p>
        </w:tc>
        <w:tc>
          <w:tcPr>
            <w:tcW w:w="1300" w:type="dxa"/>
            <w:tcBorders>
              <w:top w:val="nil"/>
              <w:left w:val="nil"/>
              <w:bottom w:val="nil"/>
              <w:right w:val="nil"/>
            </w:tcBorders>
            <w:shd w:val="clear" w:color="auto" w:fill="auto"/>
            <w:vAlign w:val="center"/>
            <w:hideMark/>
          </w:tcPr>
          <w:p w14:paraId="21AD2783"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0.000</w:t>
            </w:r>
          </w:p>
        </w:tc>
        <w:tc>
          <w:tcPr>
            <w:tcW w:w="1300" w:type="dxa"/>
            <w:tcBorders>
              <w:top w:val="nil"/>
              <w:left w:val="nil"/>
              <w:bottom w:val="nil"/>
              <w:right w:val="nil"/>
            </w:tcBorders>
            <w:shd w:val="clear" w:color="auto" w:fill="auto"/>
            <w:vAlign w:val="center"/>
            <w:hideMark/>
          </w:tcPr>
          <w:p w14:paraId="0AD19473"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3.466</w:t>
            </w:r>
          </w:p>
        </w:tc>
      </w:tr>
      <w:tr w:rsidR="000E3A94" w:rsidRPr="002D6B35" w14:paraId="7777D01F" w14:textId="77777777" w:rsidTr="00AD715B">
        <w:trPr>
          <w:trHeight w:val="340"/>
        </w:trPr>
        <w:tc>
          <w:tcPr>
            <w:tcW w:w="1300" w:type="dxa"/>
            <w:tcBorders>
              <w:top w:val="nil"/>
              <w:left w:val="nil"/>
              <w:bottom w:val="nil"/>
              <w:right w:val="nil"/>
            </w:tcBorders>
            <w:shd w:val="clear" w:color="auto" w:fill="auto"/>
            <w:vAlign w:val="center"/>
            <w:hideMark/>
          </w:tcPr>
          <w:p w14:paraId="0C5E297C" w14:textId="77777777" w:rsidR="000E3A94" w:rsidRPr="002D6B35" w:rsidRDefault="000E3A94" w:rsidP="00AD715B">
            <w:pPr>
              <w:suppressAutoHyphens w:val="0"/>
              <w:spacing w:line="240" w:lineRule="auto"/>
              <w:rPr>
                <w:rFonts w:eastAsia="Times New Roman"/>
                <w:i/>
                <w:iCs/>
                <w:color w:val="000000"/>
                <w:lang w:val="en-KR" w:eastAsia="ko-KR"/>
              </w:rPr>
            </w:pPr>
            <w:proofErr w:type="spellStart"/>
            <w:r w:rsidRPr="002D6B35">
              <w:rPr>
                <w:rFonts w:eastAsia="Times New Roman"/>
                <w:i/>
                <w:iCs/>
                <w:color w:val="000000"/>
                <w:lang w:eastAsia="ko-KR"/>
              </w:rPr>
              <w:t>DegreeM</w:t>
            </w:r>
            <w:proofErr w:type="spellEnd"/>
          </w:p>
        </w:tc>
        <w:tc>
          <w:tcPr>
            <w:tcW w:w="1300" w:type="dxa"/>
            <w:tcBorders>
              <w:top w:val="nil"/>
              <w:left w:val="nil"/>
              <w:bottom w:val="nil"/>
              <w:right w:val="nil"/>
            </w:tcBorders>
            <w:shd w:val="clear" w:color="auto" w:fill="auto"/>
            <w:vAlign w:val="center"/>
            <w:hideMark/>
          </w:tcPr>
          <w:p w14:paraId="136A3B16"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24942</w:t>
            </w:r>
          </w:p>
        </w:tc>
        <w:tc>
          <w:tcPr>
            <w:tcW w:w="1300" w:type="dxa"/>
            <w:tcBorders>
              <w:top w:val="nil"/>
              <w:left w:val="nil"/>
              <w:bottom w:val="nil"/>
              <w:right w:val="nil"/>
            </w:tcBorders>
            <w:shd w:val="clear" w:color="auto" w:fill="auto"/>
            <w:vAlign w:val="center"/>
            <w:hideMark/>
          </w:tcPr>
          <w:p w14:paraId="6D6987F1"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0.369</w:t>
            </w:r>
          </w:p>
        </w:tc>
        <w:tc>
          <w:tcPr>
            <w:tcW w:w="1300" w:type="dxa"/>
            <w:tcBorders>
              <w:top w:val="nil"/>
              <w:left w:val="nil"/>
              <w:bottom w:val="nil"/>
              <w:right w:val="nil"/>
            </w:tcBorders>
            <w:shd w:val="clear" w:color="auto" w:fill="auto"/>
            <w:vAlign w:val="center"/>
            <w:hideMark/>
          </w:tcPr>
          <w:p w14:paraId="0491174C"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0.298</w:t>
            </w:r>
          </w:p>
        </w:tc>
        <w:tc>
          <w:tcPr>
            <w:tcW w:w="1300" w:type="dxa"/>
            <w:tcBorders>
              <w:top w:val="nil"/>
              <w:left w:val="nil"/>
              <w:bottom w:val="nil"/>
              <w:right w:val="nil"/>
            </w:tcBorders>
            <w:shd w:val="clear" w:color="auto" w:fill="auto"/>
            <w:vAlign w:val="center"/>
            <w:hideMark/>
          </w:tcPr>
          <w:p w14:paraId="4D3783EB"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0.000</w:t>
            </w:r>
          </w:p>
        </w:tc>
        <w:tc>
          <w:tcPr>
            <w:tcW w:w="1300" w:type="dxa"/>
            <w:tcBorders>
              <w:top w:val="nil"/>
              <w:left w:val="nil"/>
              <w:bottom w:val="nil"/>
              <w:right w:val="nil"/>
            </w:tcBorders>
            <w:shd w:val="clear" w:color="auto" w:fill="auto"/>
            <w:vAlign w:val="center"/>
            <w:hideMark/>
          </w:tcPr>
          <w:p w14:paraId="65CCA8E2"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1.000</w:t>
            </w:r>
          </w:p>
        </w:tc>
      </w:tr>
      <w:tr w:rsidR="000E3A94" w:rsidRPr="002D6B35" w14:paraId="1D7CC88D" w14:textId="77777777" w:rsidTr="00AD715B">
        <w:trPr>
          <w:trHeight w:val="340"/>
        </w:trPr>
        <w:tc>
          <w:tcPr>
            <w:tcW w:w="1300" w:type="dxa"/>
            <w:tcBorders>
              <w:top w:val="nil"/>
              <w:left w:val="nil"/>
              <w:bottom w:val="nil"/>
              <w:right w:val="nil"/>
            </w:tcBorders>
            <w:shd w:val="clear" w:color="auto" w:fill="auto"/>
            <w:vAlign w:val="center"/>
            <w:hideMark/>
          </w:tcPr>
          <w:p w14:paraId="4A78364A" w14:textId="77777777" w:rsidR="000E3A94" w:rsidRPr="002D6B35" w:rsidRDefault="000E3A94" w:rsidP="00AD715B">
            <w:pPr>
              <w:suppressAutoHyphens w:val="0"/>
              <w:spacing w:line="240" w:lineRule="auto"/>
              <w:rPr>
                <w:rFonts w:eastAsia="Times New Roman"/>
                <w:i/>
                <w:iCs/>
                <w:color w:val="000000"/>
                <w:lang w:val="en-KR" w:eastAsia="ko-KR"/>
              </w:rPr>
            </w:pPr>
            <w:proofErr w:type="spellStart"/>
            <w:r w:rsidRPr="002D6B35">
              <w:rPr>
                <w:rFonts w:eastAsia="Times New Roman"/>
                <w:i/>
                <w:iCs/>
                <w:color w:val="000000"/>
                <w:lang w:eastAsia="ko-KR"/>
              </w:rPr>
              <w:t>SharesM</w:t>
            </w:r>
            <w:proofErr w:type="spellEnd"/>
          </w:p>
        </w:tc>
        <w:tc>
          <w:tcPr>
            <w:tcW w:w="1300" w:type="dxa"/>
            <w:tcBorders>
              <w:top w:val="nil"/>
              <w:left w:val="nil"/>
              <w:bottom w:val="nil"/>
              <w:right w:val="nil"/>
            </w:tcBorders>
            <w:shd w:val="clear" w:color="auto" w:fill="auto"/>
            <w:vAlign w:val="center"/>
            <w:hideMark/>
          </w:tcPr>
          <w:p w14:paraId="00C7867C"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24942</w:t>
            </w:r>
          </w:p>
        </w:tc>
        <w:tc>
          <w:tcPr>
            <w:tcW w:w="1300" w:type="dxa"/>
            <w:tcBorders>
              <w:top w:val="nil"/>
              <w:left w:val="nil"/>
              <w:bottom w:val="nil"/>
              <w:right w:val="nil"/>
            </w:tcBorders>
            <w:shd w:val="clear" w:color="auto" w:fill="auto"/>
            <w:vAlign w:val="center"/>
            <w:hideMark/>
          </w:tcPr>
          <w:p w14:paraId="017EEF1C"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5.294</w:t>
            </w:r>
          </w:p>
        </w:tc>
        <w:tc>
          <w:tcPr>
            <w:tcW w:w="1300" w:type="dxa"/>
            <w:tcBorders>
              <w:top w:val="nil"/>
              <w:left w:val="nil"/>
              <w:bottom w:val="nil"/>
              <w:right w:val="nil"/>
            </w:tcBorders>
            <w:shd w:val="clear" w:color="auto" w:fill="auto"/>
            <w:vAlign w:val="center"/>
            <w:hideMark/>
          </w:tcPr>
          <w:p w14:paraId="7DA7B127"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11.463</w:t>
            </w:r>
          </w:p>
        </w:tc>
        <w:tc>
          <w:tcPr>
            <w:tcW w:w="1300" w:type="dxa"/>
            <w:tcBorders>
              <w:top w:val="nil"/>
              <w:left w:val="nil"/>
              <w:bottom w:val="nil"/>
              <w:right w:val="nil"/>
            </w:tcBorders>
            <w:shd w:val="clear" w:color="auto" w:fill="auto"/>
            <w:vAlign w:val="center"/>
            <w:hideMark/>
          </w:tcPr>
          <w:p w14:paraId="25442269"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0.000</w:t>
            </w:r>
          </w:p>
        </w:tc>
        <w:tc>
          <w:tcPr>
            <w:tcW w:w="1300" w:type="dxa"/>
            <w:tcBorders>
              <w:top w:val="nil"/>
              <w:left w:val="nil"/>
              <w:bottom w:val="nil"/>
              <w:right w:val="nil"/>
            </w:tcBorders>
            <w:shd w:val="clear" w:color="auto" w:fill="auto"/>
            <w:vAlign w:val="center"/>
            <w:hideMark/>
          </w:tcPr>
          <w:p w14:paraId="41E8DD40"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78.960</w:t>
            </w:r>
          </w:p>
        </w:tc>
      </w:tr>
      <w:tr w:rsidR="000E3A94" w:rsidRPr="002D6B35" w14:paraId="173638A8" w14:textId="77777777" w:rsidTr="00AD715B">
        <w:trPr>
          <w:trHeight w:val="340"/>
        </w:trPr>
        <w:tc>
          <w:tcPr>
            <w:tcW w:w="1300" w:type="dxa"/>
            <w:tcBorders>
              <w:top w:val="nil"/>
              <w:left w:val="nil"/>
              <w:bottom w:val="nil"/>
              <w:right w:val="nil"/>
            </w:tcBorders>
            <w:shd w:val="clear" w:color="auto" w:fill="auto"/>
            <w:vAlign w:val="center"/>
            <w:hideMark/>
          </w:tcPr>
          <w:p w14:paraId="57269D11" w14:textId="77777777" w:rsidR="000E3A94" w:rsidRPr="002D6B35" w:rsidRDefault="000E3A94" w:rsidP="00AD715B">
            <w:pPr>
              <w:suppressAutoHyphens w:val="0"/>
              <w:spacing w:line="240" w:lineRule="auto"/>
              <w:rPr>
                <w:rFonts w:eastAsia="Times New Roman"/>
                <w:i/>
                <w:iCs/>
                <w:color w:val="000000"/>
                <w:lang w:val="en-KR" w:eastAsia="ko-KR"/>
              </w:rPr>
            </w:pPr>
            <w:proofErr w:type="spellStart"/>
            <w:r w:rsidRPr="002D6B35">
              <w:rPr>
                <w:rFonts w:eastAsia="Times New Roman"/>
                <w:i/>
                <w:iCs/>
                <w:color w:val="000000"/>
                <w:lang w:eastAsia="ko-KR"/>
              </w:rPr>
              <w:t>FinBackM</w:t>
            </w:r>
            <w:proofErr w:type="spellEnd"/>
          </w:p>
        </w:tc>
        <w:tc>
          <w:tcPr>
            <w:tcW w:w="1300" w:type="dxa"/>
            <w:tcBorders>
              <w:top w:val="nil"/>
              <w:left w:val="nil"/>
              <w:bottom w:val="nil"/>
              <w:right w:val="nil"/>
            </w:tcBorders>
            <w:shd w:val="clear" w:color="auto" w:fill="auto"/>
            <w:vAlign w:val="center"/>
            <w:hideMark/>
          </w:tcPr>
          <w:p w14:paraId="7F6478D4"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24942</w:t>
            </w:r>
          </w:p>
        </w:tc>
        <w:tc>
          <w:tcPr>
            <w:tcW w:w="1300" w:type="dxa"/>
            <w:tcBorders>
              <w:top w:val="nil"/>
              <w:left w:val="nil"/>
              <w:bottom w:val="nil"/>
              <w:right w:val="nil"/>
            </w:tcBorders>
            <w:shd w:val="clear" w:color="auto" w:fill="auto"/>
            <w:vAlign w:val="center"/>
            <w:hideMark/>
          </w:tcPr>
          <w:p w14:paraId="4C7C4D2F"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0.086</w:t>
            </w:r>
          </w:p>
        </w:tc>
        <w:tc>
          <w:tcPr>
            <w:tcW w:w="1300" w:type="dxa"/>
            <w:tcBorders>
              <w:top w:val="nil"/>
              <w:left w:val="nil"/>
              <w:bottom w:val="nil"/>
              <w:right w:val="nil"/>
            </w:tcBorders>
            <w:shd w:val="clear" w:color="auto" w:fill="auto"/>
            <w:vAlign w:val="center"/>
            <w:hideMark/>
          </w:tcPr>
          <w:p w14:paraId="57A9DAC4"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0.191</w:t>
            </w:r>
          </w:p>
        </w:tc>
        <w:tc>
          <w:tcPr>
            <w:tcW w:w="1300" w:type="dxa"/>
            <w:tcBorders>
              <w:top w:val="nil"/>
              <w:left w:val="nil"/>
              <w:bottom w:val="nil"/>
              <w:right w:val="nil"/>
            </w:tcBorders>
            <w:shd w:val="clear" w:color="auto" w:fill="auto"/>
            <w:vAlign w:val="center"/>
            <w:hideMark/>
          </w:tcPr>
          <w:p w14:paraId="2A3A711D"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0.000</w:t>
            </w:r>
          </w:p>
        </w:tc>
        <w:tc>
          <w:tcPr>
            <w:tcW w:w="1300" w:type="dxa"/>
            <w:tcBorders>
              <w:top w:val="nil"/>
              <w:left w:val="nil"/>
              <w:bottom w:val="nil"/>
              <w:right w:val="nil"/>
            </w:tcBorders>
            <w:shd w:val="clear" w:color="auto" w:fill="auto"/>
            <w:vAlign w:val="center"/>
            <w:hideMark/>
          </w:tcPr>
          <w:p w14:paraId="1F122C32"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1.000</w:t>
            </w:r>
          </w:p>
        </w:tc>
      </w:tr>
      <w:tr w:rsidR="000E3A94" w:rsidRPr="002D6B35" w14:paraId="2977D38F" w14:textId="77777777" w:rsidTr="00AD715B">
        <w:trPr>
          <w:trHeight w:val="340"/>
        </w:trPr>
        <w:tc>
          <w:tcPr>
            <w:tcW w:w="1300" w:type="dxa"/>
            <w:tcBorders>
              <w:top w:val="nil"/>
              <w:left w:val="nil"/>
              <w:bottom w:val="single" w:sz="4" w:space="0" w:color="auto"/>
              <w:right w:val="nil"/>
            </w:tcBorders>
            <w:shd w:val="clear" w:color="auto" w:fill="auto"/>
            <w:vAlign w:val="center"/>
            <w:hideMark/>
          </w:tcPr>
          <w:p w14:paraId="16284B3E" w14:textId="77777777" w:rsidR="000E3A94" w:rsidRPr="002D6B35" w:rsidRDefault="000E3A94" w:rsidP="00AD715B">
            <w:pPr>
              <w:suppressAutoHyphens w:val="0"/>
              <w:spacing w:line="240" w:lineRule="auto"/>
              <w:rPr>
                <w:rFonts w:eastAsia="Times New Roman"/>
                <w:i/>
                <w:iCs/>
                <w:color w:val="000000"/>
                <w:lang w:val="en-KR" w:eastAsia="ko-KR"/>
              </w:rPr>
            </w:pPr>
            <w:proofErr w:type="spellStart"/>
            <w:r w:rsidRPr="002D6B35">
              <w:rPr>
                <w:rFonts w:eastAsia="Times New Roman"/>
                <w:i/>
                <w:iCs/>
                <w:color w:val="000000"/>
                <w:lang w:val="en-GB" w:eastAsia="ko-KR"/>
              </w:rPr>
              <w:t>AcademicM</w:t>
            </w:r>
            <w:proofErr w:type="spellEnd"/>
          </w:p>
        </w:tc>
        <w:tc>
          <w:tcPr>
            <w:tcW w:w="1300" w:type="dxa"/>
            <w:tcBorders>
              <w:top w:val="nil"/>
              <w:left w:val="nil"/>
              <w:bottom w:val="single" w:sz="4" w:space="0" w:color="auto"/>
              <w:right w:val="nil"/>
            </w:tcBorders>
            <w:shd w:val="clear" w:color="auto" w:fill="auto"/>
            <w:vAlign w:val="center"/>
            <w:hideMark/>
          </w:tcPr>
          <w:p w14:paraId="22DB4492"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24942</w:t>
            </w:r>
          </w:p>
        </w:tc>
        <w:tc>
          <w:tcPr>
            <w:tcW w:w="1300" w:type="dxa"/>
            <w:tcBorders>
              <w:top w:val="nil"/>
              <w:left w:val="nil"/>
              <w:bottom w:val="single" w:sz="4" w:space="0" w:color="auto"/>
              <w:right w:val="nil"/>
            </w:tcBorders>
            <w:shd w:val="clear" w:color="auto" w:fill="auto"/>
            <w:vAlign w:val="center"/>
            <w:hideMark/>
          </w:tcPr>
          <w:p w14:paraId="50E24D9C"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0.098</w:t>
            </w:r>
          </w:p>
        </w:tc>
        <w:tc>
          <w:tcPr>
            <w:tcW w:w="1300" w:type="dxa"/>
            <w:tcBorders>
              <w:top w:val="nil"/>
              <w:left w:val="nil"/>
              <w:bottom w:val="single" w:sz="4" w:space="0" w:color="auto"/>
              <w:right w:val="nil"/>
            </w:tcBorders>
            <w:shd w:val="clear" w:color="auto" w:fill="auto"/>
            <w:vAlign w:val="center"/>
            <w:hideMark/>
          </w:tcPr>
          <w:p w14:paraId="14C838D5"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0.151</w:t>
            </w:r>
          </w:p>
        </w:tc>
        <w:tc>
          <w:tcPr>
            <w:tcW w:w="1300" w:type="dxa"/>
            <w:tcBorders>
              <w:top w:val="nil"/>
              <w:left w:val="nil"/>
              <w:bottom w:val="single" w:sz="4" w:space="0" w:color="auto"/>
              <w:right w:val="nil"/>
            </w:tcBorders>
            <w:shd w:val="clear" w:color="auto" w:fill="auto"/>
            <w:vAlign w:val="center"/>
            <w:hideMark/>
          </w:tcPr>
          <w:p w14:paraId="60391114"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0.000</w:t>
            </w:r>
          </w:p>
        </w:tc>
        <w:tc>
          <w:tcPr>
            <w:tcW w:w="1300" w:type="dxa"/>
            <w:tcBorders>
              <w:top w:val="nil"/>
              <w:left w:val="nil"/>
              <w:bottom w:val="single" w:sz="4" w:space="0" w:color="auto"/>
              <w:right w:val="nil"/>
            </w:tcBorders>
            <w:shd w:val="clear" w:color="auto" w:fill="auto"/>
            <w:vAlign w:val="center"/>
            <w:hideMark/>
          </w:tcPr>
          <w:p w14:paraId="085113F8" w14:textId="77777777" w:rsidR="000E3A94" w:rsidRPr="002D6B35" w:rsidRDefault="000E3A94" w:rsidP="00AD715B">
            <w:pPr>
              <w:suppressAutoHyphens w:val="0"/>
              <w:spacing w:line="240" w:lineRule="auto"/>
              <w:jc w:val="right"/>
              <w:rPr>
                <w:rFonts w:eastAsia="Times New Roman"/>
                <w:color w:val="000000"/>
                <w:lang w:val="en-KR" w:eastAsia="ko-KR"/>
              </w:rPr>
            </w:pPr>
            <w:r w:rsidRPr="002D6B35">
              <w:rPr>
                <w:rFonts w:eastAsia="Times New Roman"/>
                <w:color w:val="000000"/>
                <w:lang w:eastAsia="ko-KR"/>
              </w:rPr>
              <w:t>1.000</w:t>
            </w:r>
          </w:p>
        </w:tc>
      </w:tr>
    </w:tbl>
    <w:p w14:paraId="74FBCCD8" w14:textId="77777777" w:rsidR="000E3A94" w:rsidRPr="00172AD7" w:rsidRDefault="000E3A94" w:rsidP="000E3A94">
      <w:pPr>
        <w:rPr>
          <w:i/>
          <w:iCs/>
          <w:color w:val="000000" w:themeColor="text1"/>
        </w:rPr>
      </w:pPr>
    </w:p>
    <w:p w14:paraId="7AEE67A3" w14:textId="77777777" w:rsidR="000E3A94" w:rsidRDefault="000E3A94" w:rsidP="000E3A94">
      <w:pPr>
        <w:spacing w:line="240" w:lineRule="auto"/>
        <w:rPr>
          <w:color w:val="000000" w:themeColor="text1"/>
        </w:rPr>
      </w:pPr>
    </w:p>
    <w:p w14:paraId="270ACB15" w14:textId="77777777" w:rsidR="000E3A94" w:rsidRDefault="000E3A94" w:rsidP="000E3A94">
      <w:pPr>
        <w:rPr>
          <w:b/>
          <w:bCs/>
          <w:color w:val="000000" w:themeColor="text1"/>
        </w:rPr>
        <w:sectPr w:rsidR="000E3A94" w:rsidSect="000E3A94">
          <w:pgSz w:w="12240" w:h="15840" w:code="1"/>
          <w:pgMar w:top="1440" w:right="1440" w:bottom="1440" w:left="1440" w:header="720" w:footer="720" w:gutter="0"/>
          <w:pgNumType w:start="1"/>
          <w:cols w:space="720"/>
          <w:docGrid w:linePitch="360"/>
        </w:sectPr>
      </w:pPr>
    </w:p>
    <w:p w14:paraId="641DA9A3" w14:textId="77777777" w:rsidR="000E3A94" w:rsidRPr="00172AD7" w:rsidRDefault="000E3A94" w:rsidP="000E3A94">
      <w:pPr>
        <w:rPr>
          <w:b/>
          <w:bCs/>
          <w:color w:val="000000" w:themeColor="text1"/>
        </w:rPr>
      </w:pPr>
      <w:r w:rsidRPr="00172AD7">
        <w:rPr>
          <w:b/>
          <w:bCs/>
          <w:color w:val="000000" w:themeColor="text1"/>
        </w:rPr>
        <w:lastRenderedPageBreak/>
        <w:t xml:space="preserve">Table </w:t>
      </w:r>
      <w:r>
        <w:rPr>
          <w:b/>
          <w:bCs/>
          <w:color w:val="000000" w:themeColor="text1"/>
        </w:rPr>
        <w:t>3</w:t>
      </w:r>
    </w:p>
    <w:p w14:paraId="6101B737" w14:textId="77777777" w:rsidR="000E3A94" w:rsidRPr="00172AD7" w:rsidRDefault="000E3A94" w:rsidP="000E3A94">
      <w:pPr>
        <w:rPr>
          <w:i/>
          <w:iCs/>
          <w:color w:val="000000" w:themeColor="text1"/>
        </w:rPr>
      </w:pPr>
      <w:r>
        <w:rPr>
          <w:i/>
          <w:iCs/>
          <w:color w:val="000000" w:themeColor="text1"/>
        </w:rPr>
        <w:t>Pairwise Correlations</w:t>
      </w:r>
    </w:p>
    <w:tbl>
      <w:tblPr>
        <w:tblW w:w="5000" w:type="pct"/>
        <w:tblLook w:val="04A0" w:firstRow="1" w:lastRow="0" w:firstColumn="1" w:lastColumn="0" w:noHBand="0" w:noVBand="1"/>
      </w:tblPr>
      <w:tblGrid>
        <w:gridCol w:w="1874"/>
        <w:gridCol w:w="1257"/>
        <w:gridCol w:w="1257"/>
        <w:gridCol w:w="1257"/>
        <w:gridCol w:w="1257"/>
        <w:gridCol w:w="1257"/>
        <w:gridCol w:w="1257"/>
        <w:gridCol w:w="1257"/>
        <w:gridCol w:w="1257"/>
        <w:gridCol w:w="1246"/>
      </w:tblGrid>
      <w:tr w:rsidR="000E3A94" w:rsidRPr="0012595C" w14:paraId="4C6E6FA6" w14:textId="77777777" w:rsidTr="00AD715B">
        <w:trPr>
          <w:trHeight w:val="340"/>
        </w:trPr>
        <w:tc>
          <w:tcPr>
            <w:tcW w:w="711" w:type="pct"/>
            <w:tcBorders>
              <w:top w:val="single" w:sz="4" w:space="0" w:color="auto"/>
              <w:left w:val="nil"/>
              <w:bottom w:val="single" w:sz="4" w:space="0" w:color="auto"/>
              <w:right w:val="nil"/>
            </w:tcBorders>
            <w:shd w:val="clear" w:color="auto" w:fill="auto"/>
            <w:vAlign w:val="center"/>
            <w:hideMark/>
          </w:tcPr>
          <w:p w14:paraId="19DEB37E" w14:textId="77777777" w:rsidR="000E3A94" w:rsidRPr="0012595C" w:rsidRDefault="000E3A94" w:rsidP="00AD715B">
            <w:pPr>
              <w:suppressAutoHyphens w:val="0"/>
              <w:spacing w:line="240" w:lineRule="auto"/>
              <w:jc w:val="center"/>
              <w:rPr>
                <w:rFonts w:eastAsia="Times New Roman"/>
                <w:color w:val="000000"/>
                <w:lang w:val="en-KR" w:eastAsia="ko-KR"/>
              </w:rPr>
            </w:pPr>
            <w:r w:rsidRPr="0012595C">
              <w:rPr>
                <w:rFonts w:eastAsia="Times New Roman"/>
                <w:color w:val="000000"/>
                <w:lang w:eastAsia="ko-KR"/>
              </w:rPr>
              <w:t>Variables</w:t>
            </w:r>
          </w:p>
        </w:tc>
        <w:tc>
          <w:tcPr>
            <w:tcW w:w="477" w:type="pct"/>
            <w:tcBorders>
              <w:top w:val="single" w:sz="4" w:space="0" w:color="auto"/>
              <w:left w:val="nil"/>
              <w:bottom w:val="single" w:sz="4" w:space="0" w:color="auto"/>
              <w:right w:val="nil"/>
            </w:tcBorders>
            <w:shd w:val="clear" w:color="auto" w:fill="auto"/>
            <w:vAlign w:val="center"/>
            <w:hideMark/>
          </w:tcPr>
          <w:p w14:paraId="0F989B94" w14:textId="77777777" w:rsidR="000E3A94" w:rsidRPr="0012595C" w:rsidRDefault="000E3A94" w:rsidP="00AD715B">
            <w:pPr>
              <w:suppressAutoHyphens w:val="0"/>
              <w:spacing w:line="240" w:lineRule="auto"/>
              <w:jc w:val="center"/>
              <w:rPr>
                <w:rFonts w:eastAsia="Times New Roman"/>
                <w:color w:val="000000"/>
                <w:lang w:val="en-KR" w:eastAsia="ko-KR"/>
              </w:rPr>
            </w:pPr>
            <w:r w:rsidRPr="0012595C">
              <w:rPr>
                <w:rFonts w:eastAsia="Times New Roman"/>
                <w:color w:val="000000"/>
                <w:lang w:val="en-KR" w:eastAsia="ko-KR"/>
              </w:rPr>
              <w:t>(1)</w:t>
            </w:r>
          </w:p>
        </w:tc>
        <w:tc>
          <w:tcPr>
            <w:tcW w:w="477" w:type="pct"/>
            <w:tcBorders>
              <w:top w:val="single" w:sz="4" w:space="0" w:color="auto"/>
              <w:left w:val="nil"/>
              <w:bottom w:val="single" w:sz="4" w:space="0" w:color="auto"/>
              <w:right w:val="nil"/>
            </w:tcBorders>
            <w:shd w:val="clear" w:color="auto" w:fill="auto"/>
            <w:vAlign w:val="center"/>
            <w:hideMark/>
          </w:tcPr>
          <w:p w14:paraId="6C953615" w14:textId="77777777" w:rsidR="000E3A94" w:rsidRPr="0012595C" w:rsidRDefault="000E3A94" w:rsidP="00AD715B">
            <w:pPr>
              <w:suppressAutoHyphens w:val="0"/>
              <w:spacing w:line="240" w:lineRule="auto"/>
              <w:jc w:val="center"/>
              <w:rPr>
                <w:rFonts w:eastAsia="Times New Roman"/>
                <w:color w:val="000000"/>
                <w:lang w:val="en-KR" w:eastAsia="ko-KR"/>
              </w:rPr>
            </w:pPr>
            <w:r w:rsidRPr="0012595C">
              <w:rPr>
                <w:rFonts w:eastAsia="Times New Roman"/>
                <w:color w:val="000000"/>
                <w:lang w:eastAsia="ko-KR"/>
              </w:rPr>
              <w:t>(2)</w:t>
            </w:r>
          </w:p>
        </w:tc>
        <w:tc>
          <w:tcPr>
            <w:tcW w:w="477" w:type="pct"/>
            <w:tcBorders>
              <w:top w:val="single" w:sz="4" w:space="0" w:color="auto"/>
              <w:left w:val="nil"/>
              <w:bottom w:val="single" w:sz="4" w:space="0" w:color="auto"/>
              <w:right w:val="nil"/>
            </w:tcBorders>
            <w:shd w:val="clear" w:color="auto" w:fill="auto"/>
            <w:vAlign w:val="center"/>
            <w:hideMark/>
          </w:tcPr>
          <w:p w14:paraId="3348C21C" w14:textId="77777777" w:rsidR="000E3A94" w:rsidRPr="0012595C" w:rsidRDefault="000E3A94" w:rsidP="00AD715B">
            <w:pPr>
              <w:suppressAutoHyphens w:val="0"/>
              <w:spacing w:line="240" w:lineRule="auto"/>
              <w:jc w:val="center"/>
              <w:rPr>
                <w:rFonts w:eastAsia="Times New Roman"/>
                <w:color w:val="000000"/>
                <w:lang w:val="en-KR" w:eastAsia="ko-KR"/>
              </w:rPr>
            </w:pPr>
            <w:r w:rsidRPr="0012595C">
              <w:rPr>
                <w:rFonts w:eastAsia="Times New Roman"/>
                <w:color w:val="000000"/>
                <w:lang w:eastAsia="ko-KR"/>
              </w:rPr>
              <w:t>(3)</w:t>
            </w:r>
          </w:p>
        </w:tc>
        <w:tc>
          <w:tcPr>
            <w:tcW w:w="477" w:type="pct"/>
            <w:tcBorders>
              <w:top w:val="single" w:sz="4" w:space="0" w:color="auto"/>
              <w:left w:val="nil"/>
              <w:bottom w:val="single" w:sz="4" w:space="0" w:color="auto"/>
              <w:right w:val="nil"/>
            </w:tcBorders>
            <w:shd w:val="clear" w:color="auto" w:fill="auto"/>
            <w:vAlign w:val="center"/>
            <w:hideMark/>
          </w:tcPr>
          <w:p w14:paraId="094B7707" w14:textId="77777777" w:rsidR="000E3A94" w:rsidRPr="0012595C" w:rsidRDefault="000E3A94" w:rsidP="00AD715B">
            <w:pPr>
              <w:suppressAutoHyphens w:val="0"/>
              <w:spacing w:line="240" w:lineRule="auto"/>
              <w:jc w:val="center"/>
              <w:rPr>
                <w:rFonts w:eastAsia="Times New Roman"/>
                <w:color w:val="000000"/>
                <w:lang w:val="en-KR" w:eastAsia="ko-KR"/>
              </w:rPr>
            </w:pPr>
            <w:r w:rsidRPr="0012595C">
              <w:rPr>
                <w:rFonts w:eastAsia="Times New Roman"/>
                <w:color w:val="000000"/>
                <w:lang w:eastAsia="ko-KR"/>
              </w:rPr>
              <w:t>(4)</w:t>
            </w:r>
          </w:p>
        </w:tc>
        <w:tc>
          <w:tcPr>
            <w:tcW w:w="477" w:type="pct"/>
            <w:tcBorders>
              <w:top w:val="single" w:sz="4" w:space="0" w:color="auto"/>
              <w:left w:val="nil"/>
              <w:bottom w:val="single" w:sz="4" w:space="0" w:color="auto"/>
              <w:right w:val="nil"/>
            </w:tcBorders>
            <w:shd w:val="clear" w:color="auto" w:fill="auto"/>
            <w:vAlign w:val="center"/>
            <w:hideMark/>
          </w:tcPr>
          <w:p w14:paraId="2F220CA1" w14:textId="77777777" w:rsidR="000E3A94" w:rsidRPr="0012595C" w:rsidRDefault="000E3A94" w:rsidP="00AD715B">
            <w:pPr>
              <w:suppressAutoHyphens w:val="0"/>
              <w:spacing w:line="240" w:lineRule="auto"/>
              <w:jc w:val="center"/>
              <w:rPr>
                <w:rFonts w:eastAsia="Times New Roman"/>
                <w:color w:val="000000"/>
                <w:lang w:val="en-KR" w:eastAsia="ko-KR"/>
              </w:rPr>
            </w:pPr>
            <w:r w:rsidRPr="0012595C">
              <w:rPr>
                <w:rFonts w:eastAsia="Times New Roman"/>
                <w:color w:val="000000"/>
                <w:lang w:eastAsia="ko-KR"/>
              </w:rPr>
              <w:t>(5)</w:t>
            </w:r>
          </w:p>
        </w:tc>
        <w:tc>
          <w:tcPr>
            <w:tcW w:w="477" w:type="pct"/>
            <w:tcBorders>
              <w:top w:val="single" w:sz="4" w:space="0" w:color="auto"/>
              <w:left w:val="nil"/>
              <w:bottom w:val="single" w:sz="4" w:space="0" w:color="auto"/>
              <w:right w:val="nil"/>
            </w:tcBorders>
            <w:shd w:val="clear" w:color="auto" w:fill="auto"/>
            <w:vAlign w:val="center"/>
            <w:hideMark/>
          </w:tcPr>
          <w:p w14:paraId="484B4219" w14:textId="77777777" w:rsidR="000E3A94" w:rsidRPr="0012595C" w:rsidRDefault="000E3A94" w:rsidP="00AD715B">
            <w:pPr>
              <w:suppressAutoHyphens w:val="0"/>
              <w:spacing w:line="240" w:lineRule="auto"/>
              <w:jc w:val="center"/>
              <w:rPr>
                <w:rFonts w:eastAsia="Times New Roman"/>
                <w:color w:val="000000"/>
                <w:lang w:val="en-KR" w:eastAsia="ko-KR"/>
              </w:rPr>
            </w:pPr>
            <w:r w:rsidRPr="0012595C">
              <w:rPr>
                <w:rFonts w:eastAsia="Times New Roman"/>
                <w:color w:val="000000"/>
                <w:lang w:eastAsia="ko-KR"/>
              </w:rPr>
              <w:t>(6)</w:t>
            </w:r>
          </w:p>
        </w:tc>
        <w:tc>
          <w:tcPr>
            <w:tcW w:w="477" w:type="pct"/>
            <w:tcBorders>
              <w:top w:val="single" w:sz="4" w:space="0" w:color="auto"/>
              <w:left w:val="nil"/>
              <w:bottom w:val="single" w:sz="4" w:space="0" w:color="auto"/>
              <w:right w:val="nil"/>
            </w:tcBorders>
            <w:shd w:val="clear" w:color="auto" w:fill="auto"/>
            <w:vAlign w:val="center"/>
            <w:hideMark/>
          </w:tcPr>
          <w:p w14:paraId="0A33891C" w14:textId="77777777" w:rsidR="000E3A94" w:rsidRPr="0012595C" w:rsidRDefault="000E3A94" w:rsidP="00AD715B">
            <w:pPr>
              <w:suppressAutoHyphens w:val="0"/>
              <w:spacing w:line="240" w:lineRule="auto"/>
              <w:jc w:val="center"/>
              <w:rPr>
                <w:rFonts w:eastAsia="Times New Roman"/>
                <w:color w:val="000000"/>
                <w:lang w:val="en-KR" w:eastAsia="ko-KR"/>
              </w:rPr>
            </w:pPr>
            <w:r w:rsidRPr="0012595C">
              <w:rPr>
                <w:rFonts w:eastAsia="Times New Roman"/>
                <w:color w:val="000000"/>
                <w:lang w:eastAsia="ko-KR"/>
              </w:rPr>
              <w:t>(7)</w:t>
            </w:r>
          </w:p>
        </w:tc>
        <w:tc>
          <w:tcPr>
            <w:tcW w:w="477" w:type="pct"/>
            <w:tcBorders>
              <w:top w:val="single" w:sz="4" w:space="0" w:color="auto"/>
              <w:left w:val="nil"/>
              <w:bottom w:val="single" w:sz="4" w:space="0" w:color="auto"/>
              <w:right w:val="nil"/>
            </w:tcBorders>
            <w:shd w:val="clear" w:color="auto" w:fill="auto"/>
            <w:vAlign w:val="center"/>
            <w:hideMark/>
          </w:tcPr>
          <w:p w14:paraId="761FAA58" w14:textId="77777777" w:rsidR="000E3A94" w:rsidRPr="0012595C" w:rsidRDefault="000E3A94" w:rsidP="00AD715B">
            <w:pPr>
              <w:suppressAutoHyphens w:val="0"/>
              <w:spacing w:line="240" w:lineRule="auto"/>
              <w:jc w:val="center"/>
              <w:rPr>
                <w:rFonts w:eastAsia="Times New Roman"/>
                <w:color w:val="000000"/>
                <w:lang w:val="en-KR" w:eastAsia="ko-KR"/>
              </w:rPr>
            </w:pPr>
            <w:r w:rsidRPr="0012595C">
              <w:rPr>
                <w:rFonts w:eastAsia="Times New Roman"/>
                <w:color w:val="000000"/>
                <w:lang w:eastAsia="ko-KR"/>
              </w:rPr>
              <w:t>(8)</w:t>
            </w:r>
          </w:p>
        </w:tc>
        <w:tc>
          <w:tcPr>
            <w:tcW w:w="477" w:type="pct"/>
            <w:tcBorders>
              <w:top w:val="single" w:sz="4" w:space="0" w:color="auto"/>
              <w:left w:val="nil"/>
              <w:bottom w:val="single" w:sz="4" w:space="0" w:color="auto"/>
              <w:right w:val="nil"/>
            </w:tcBorders>
            <w:shd w:val="clear" w:color="auto" w:fill="auto"/>
            <w:vAlign w:val="center"/>
            <w:hideMark/>
          </w:tcPr>
          <w:p w14:paraId="37D6F47F" w14:textId="77777777" w:rsidR="000E3A94" w:rsidRPr="0012595C" w:rsidRDefault="000E3A94" w:rsidP="00AD715B">
            <w:pPr>
              <w:suppressAutoHyphens w:val="0"/>
              <w:spacing w:line="240" w:lineRule="auto"/>
              <w:jc w:val="center"/>
              <w:rPr>
                <w:rFonts w:eastAsia="Times New Roman"/>
                <w:color w:val="000000"/>
                <w:lang w:val="en-KR" w:eastAsia="ko-KR"/>
              </w:rPr>
            </w:pPr>
            <w:r w:rsidRPr="0012595C">
              <w:rPr>
                <w:rFonts w:eastAsia="Times New Roman"/>
                <w:color w:val="000000"/>
                <w:lang w:eastAsia="ko-KR"/>
              </w:rPr>
              <w:t>(9)</w:t>
            </w:r>
          </w:p>
        </w:tc>
      </w:tr>
      <w:tr w:rsidR="000E3A94" w:rsidRPr="0012595C" w14:paraId="4469F900" w14:textId="77777777" w:rsidTr="00AD715B">
        <w:trPr>
          <w:trHeight w:val="340"/>
        </w:trPr>
        <w:tc>
          <w:tcPr>
            <w:tcW w:w="711" w:type="pct"/>
            <w:tcBorders>
              <w:top w:val="nil"/>
              <w:left w:val="nil"/>
              <w:bottom w:val="nil"/>
              <w:right w:val="nil"/>
            </w:tcBorders>
            <w:shd w:val="clear" w:color="auto" w:fill="auto"/>
            <w:vAlign w:val="center"/>
            <w:hideMark/>
          </w:tcPr>
          <w:p w14:paraId="43BE0008" w14:textId="77777777" w:rsidR="000E3A94" w:rsidRPr="0012595C" w:rsidRDefault="000E3A94" w:rsidP="00AD715B">
            <w:pPr>
              <w:suppressAutoHyphens w:val="0"/>
              <w:spacing w:line="240" w:lineRule="auto"/>
              <w:rPr>
                <w:rFonts w:eastAsia="Times New Roman"/>
                <w:i/>
                <w:iCs/>
                <w:color w:val="000000"/>
                <w:lang w:val="en-KR" w:eastAsia="ko-KR"/>
              </w:rPr>
            </w:pPr>
            <w:r w:rsidRPr="0012595C">
              <w:rPr>
                <w:rFonts w:eastAsia="Times New Roman"/>
                <w:i/>
                <w:iCs/>
                <w:color w:val="000000"/>
                <w:lang w:eastAsia="ko-KR"/>
              </w:rPr>
              <w:t xml:space="preserve">(1) </w:t>
            </w:r>
            <w:proofErr w:type="spellStart"/>
            <w:r w:rsidRPr="0012595C">
              <w:rPr>
                <w:rFonts w:eastAsia="Times New Roman"/>
                <w:i/>
                <w:iCs/>
                <w:color w:val="000000"/>
                <w:lang w:eastAsia="ko-KR"/>
              </w:rPr>
              <w:t>Degreep</w:t>
            </w:r>
            <w:proofErr w:type="spellEnd"/>
          </w:p>
        </w:tc>
        <w:tc>
          <w:tcPr>
            <w:tcW w:w="477" w:type="pct"/>
            <w:tcBorders>
              <w:top w:val="nil"/>
              <w:left w:val="nil"/>
              <w:bottom w:val="nil"/>
              <w:right w:val="nil"/>
            </w:tcBorders>
            <w:shd w:val="clear" w:color="auto" w:fill="auto"/>
            <w:vAlign w:val="center"/>
            <w:hideMark/>
          </w:tcPr>
          <w:p w14:paraId="6B140CBE"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1</w:t>
            </w:r>
          </w:p>
        </w:tc>
        <w:tc>
          <w:tcPr>
            <w:tcW w:w="477" w:type="pct"/>
            <w:tcBorders>
              <w:top w:val="nil"/>
              <w:left w:val="nil"/>
              <w:bottom w:val="nil"/>
              <w:right w:val="nil"/>
            </w:tcBorders>
            <w:shd w:val="clear" w:color="auto" w:fill="auto"/>
            <w:vAlign w:val="center"/>
            <w:hideMark/>
          </w:tcPr>
          <w:p w14:paraId="7B39CD0E" w14:textId="77777777" w:rsidR="000E3A94" w:rsidRPr="0012595C" w:rsidRDefault="000E3A94" w:rsidP="00AD715B">
            <w:pPr>
              <w:suppressAutoHyphens w:val="0"/>
              <w:spacing w:line="240" w:lineRule="auto"/>
              <w:jc w:val="right"/>
              <w:rPr>
                <w:rFonts w:eastAsia="Times New Roman"/>
                <w:color w:val="000000"/>
                <w:lang w:val="en-KR" w:eastAsia="ko-KR"/>
              </w:rPr>
            </w:pPr>
          </w:p>
        </w:tc>
        <w:tc>
          <w:tcPr>
            <w:tcW w:w="477" w:type="pct"/>
            <w:tcBorders>
              <w:top w:val="nil"/>
              <w:left w:val="nil"/>
              <w:bottom w:val="nil"/>
              <w:right w:val="nil"/>
            </w:tcBorders>
            <w:shd w:val="clear" w:color="auto" w:fill="auto"/>
            <w:vAlign w:val="center"/>
            <w:hideMark/>
          </w:tcPr>
          <w:p w14:paraId="737C91D6" w14:textId="77777777" w:rsidR="000E3A94" w:rsidRPr="0012595C" w:rsidRDefault="000E3A94" w:rsidP="00AD715B">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0CF3B369" w14:textId="77777777" w:rsidR="000E3A94" w:rsidRPr="0012595C" w:rsidRDefault="000E3A94" w:rsidP="00AD715B">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7C366F93" w14:textId="77777777" w:rsidR="000E3A94" w:rsidRPr="0012595C" w:rsidRDefault="000E3A94" w:rsidP="00AD715B">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4F634F97" w14:textId="77777777" w:rsidR="000E3A94" w:rsidRPr="0012595C" w:rsidRDefault="000E3A94" w:rsidP="00AD715B">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2FF130FE" w14:textId="77777777" w:rsidR="000E3A94" w:rsidRPr="0012595C" w:rsidRDefault="000E3A94" w:rsidP="00AD715B">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52F151A5" w14:textId="77777777" w:rsidR="000E3A94" w:rsidRPr="0012595C" w:rsidRDefault="000E3A94" w:rsidP="00AD715B">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0ED60AD3" w14:textId="77777777" w:rsidR="000E3A94" w:rsidRPr="0012595C" w:rsidRDefault="000E3A94" w:rsidP="00AD715B">
            <w:pPr>
              <w:suppressAutoHyphens w:val="0"/>
              <w:spacing w:line="240" w:lineRule="auto"/>
              <w:jc w:val="right"/>
              <w:rPr>
                <w:rFonts w:eastAsia="Times New Roman"/>
                <w:sz w:val="20"/>
                <w:szCs w:val="20"/>
                <w:lang w:val="en-KR" w:eastAsia="ko-KR"/>
              </w:rPr>
            </w:pPr>
          </w:p>
        </w:tc>
      </w:tr>
      <w:tr w:rsidR="000E3A94" w:rsidRPr="0012595C" w14:paraId="6241A7A6" w14:textId="77777777" w:rsidTr="00AD715B">
        <w:trPr>
          <w:trHeight w:val="340"/>
        </w:trPr>
        <w:tc>
          <w:tcPr>
            <w:tcW w:w="711" w:type="pct"/>
            <w:tcBorders>
              <w:top w:val="nil"/>
              <w:left w:val="nil"/>
              <w:bottom w:val="nil"/>
              <w:right w:val="nil"/>
            </w:tcBorders>
            <w:shd w:val="clear" w:color="auto" w:fill="auto"/>
            <w:vAlign w:val="center"/>
            <w:hideMark/>
          </w:tcPr>
          <w:p w14:paraId="30823F41" w14:textId="77777777" w:rsidR="000E3A94" w:rsidRPr="0012595C" w:rsidRDefault="000E3A94" w:rsidP="00AD715B">
            <w:pPr>
              <w:suppressAutoHyphens w:val="0"/>
              <w:spacing w:line="240" w:lineRule="auto"/>
              <w:rPr>
                <w:rFonts w:eastAsia="Times New Roman"/>
                <w:i/>
                <w:iCs/>
                <w:color w:val="000000"/>
                <w:lang w:val="en-KR" w:eastAsia="ko-KR"/>
              </w:rPr>
            </w:pPr>
            <w:r w:rsidRPr="0012595C">
              <w:rPr>
                <w:rFonts w:eastAsia="Times New Roman"/>
                <w:i/>
                <w:iCs/>
                <w:color w:val="000000"/>
                <w:lang w:eastAsia="ko-KR"/>
              </w:rPr>
              <w:t>(2) Total</w:t>
            </w:r>
          </w:p>
        </w:tc>
        <w:tc>
          <w:tcPr>
            <w:tcW w:w="477" w:type="pct"/>
            <w:tcBorders>
              <w:top w:val="nil"/>
              <w:left w:val="nil"/>
              <w:bottom w:val="nil"/>
              <w:right w:val="nil"/>
            </w:tcBorders>
            <w:shd w:val="clear" w:color="auto" w:fill="auto"/>
            <w:vAlign w:val="center"/>
            <w:hideMark/>
          </w:tcPr>
          <w:p w14:paraId="0FC17AAE"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0.187*</w:t>
            </w:r>
          </w:p>
        </w:tc>
        <w:tc>
          <w:tcPr>
            <w:tcW w:w="477" w:type="pct"/>
            <w:tcBorders>
              <w:top w:val="nil"/>
              <w:left w:val="nil"/>
              <w:bottom w:val="nil"/>
              <w:right w:val="nil"/>
            </w:tcBorders>
            <w:shd w:val="clear" w:color="auto" w:fill="auto"/>
            <w:vAlign w:val="center"/>
            <w:hideMark/>
          </w:tcPr>
          <w:p w14:paraId="0C8C256E"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1</w:t>
            </w:r>
          </w:p>
        </w:tc>
        <w:tc>
          <w:tcPr>
            <w:tcW w:w="477" w:type="pct"/>
            <w:tcBorders>
              <w:top w:val="nil"/>
              <w:left w:val="nil"/>
              <w:bottom w:val="nil"/>
              <w:right w:val="nil"/>
            </w:tcBorders>
            <w:shd w:val="clear" w:color="auto" w:fill="auto"/>
            <w:vAlign w:val="center"/>
            <w:hideMark/>
          </w:tcPr>
          <w:p w14:paraId="7784939F" w14:textId="77777777" w:rsidR="000E3A94" w:rsidRPr="0012595C" w:rsidRDefault="000E3A94" w:rsidP="00AD715B">
            <w:pPr>
              <w:suppressAutoHyphens w:val="0"/>
              <w:spacing w:line="240" w:lineRule="auto"/>
              <w:jc w:val="right"/>
              <w:rPr>
                <w:rFonts w:eastAsia="Times New Roman"/>
                <w:color w:val="000000"/>
                <w:lang w:val="en-KR" w:eastAsia="ko-KR"/>
              </w:rPr>
            </w:pPr>
          </w:p>
        </w:tc>
        <w:tc>
          <w:tcPr>
            <w:tcW w:w="477" w:type="pct"/>
            <w:tcBorders>
              <w:top w:val="nil"/>
              <w:left w:val="nil"/>
              <w:bottom w:val="nil"/>
              <w:right w:val="nil"/>
            </w:tcBorders>
            <w:shd w:val="clear" w:color="auto" w:fill="auto"/>
            <w:vAlign w:val="center"/>
            <w:hideMark/>
          </w:tcPr>
          <w:p w14:paraId="3420307A" w14:textId="77777777" w:rsidR="000E3A94" w:rsidRPr="0012595C" w:rsidRDefault="000E3A94" w:rsidP="00AD715B">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51F07995" w14:textId="77777777" w:rsidR="000E3A94" w:rsidRPr="0012595C" w:rsidRDefault="000E3A94" w:rsidP="00AD715B">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11752AFD" w14:textId="77777777" w:rsidR="000E3A94" w:rsidRPr="0012595C" w:rsidRDefault="000E3A94" w:rsidP="00AD715B">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56FEE7ED" w14:textId="77777777" w:rsidR="000E3A94" w:rsidRPr="0012595C" w:rsidRDefault="000E3A94" w:rsidP="00AD715B">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0C145BE6" w14:textId="77777777" w:rsidR="000E3A94" w:rsidRPr="0012595C" w:rsidRDefault="000E3A94" w:rsidP="00AD715B">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04163025" w14:textId="77777777" w:rsidR="000E3A94" w:rsidRPr="0012595C" w:rsidRDefault="000E3A94" w:rsidP="00AD715B">
            <w:pPr>
              <w:suppressAutoHyphens w:val="0"/>
              <w:spacing w:line="240" w:lineRule="auto"/>
              <w:jc w:val="right"/>
              <w:rPr>
                <w:rFonts w:eastAsia="Times New Roman"/>
                <w:sz w:val="20"/>
                <w:szCs w:val="20"/>
                <w:lang w:val="en-KR" w:eastAsia="ko-KR"/>
              </w:rPr>
            </w:pPr>
          </w:p>
        </w:tc>
      </w:tr>
      <w:tr w:rsidR="000E3A94" w:rsidRPr="0012595C" w14:paraId="5C1A08D1" w14:textId="77777777" w:rsidTr="00AD715B">
        <w:trPr>
          <w:trHeight w:val="340"/>
        </w:trPr>
        <w:tc>
          <w:tcPr>
            <w:tcW w:w="711" w:type="pct"/>
            <w:tcBorders>
              <w:top w:val="nil"/>
              <w:left w:val="nil"/>
              <w:bottom w:val="nil"/>
              <w:right w:val="nil"/>
            </w:tcBorders>
            <w:shd w:val="clear" w:color="auto" w:fill="auto"/>
            <w:vAlign w:val="center"/>
            <w:hideMark/>
          </w:tcPr>
          <w:p w14:paraId="0BC96B97" w14:textId="77777777" w:rsidR="000E3A94" w:rsidRPr="0012595C" w:rsidRDefault="000E3A94" w:rsidP="00AD715B">
            <w:pPr>
              <w:suppressAutoHyphens w:val="0"/>
              <w:spacing w:line="240" w:lineRule="auto"/>
              <w:rPr>
                <w:rFonts w:eastAsia="Times New Roman"/>
                <w:i/>
                <w:iCs/>
                <w:color w:val="000000"/>
                <w:lang w:val="en-KR" w:eastAsia="ko-KR"/>
              </w:rPr>
            </w:pPr>
            <w:r w:rsidRPr="0012595C">
              <w:rPr>
                <w:rFonts w:eastAsia="Times New Roman"/>
                <w:i/>
                <w:iCs/>
                <w:color w:val="000000"/>
                <w:lang w:eastAsia="ko-KR"/>
              </w:rPr>
              <w:t>(3) ROA</w:t>
            </w:r>
          </w:p>
        </w:tc>
        <w:tc>
          <w:tcPr>
            <w:tcW w:w="477" w:type="pct"/>
            <w:tcBorders>
              <w:top w:val="nil"/>
              <w:left w:val="nil"/>
              <w:bottom w:val="nil"/>
              <w:right w:val="nil"/>
            </w:tcBorders>
            <w:shd w:val="clear" w:color="auto" w:fill="auto"/>
            <w:vAlign w:val="center"/>
            <w:hideMark/>
          </w:tcPr>
          <w:p w14:paraId="493142FE"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0.000</w:t>
            </w:r>
          </w:p>
        </w:tc>
        <w:tc>
          <w:tcPr>
            <w:tcW w:w="477" w:type="pct"/>
            <w:tcBorders>
              <w:top w:val="nil"/>
              <w:left w:val="nil"/>
              <w:bottom w:val="nil"/>
              <w:right w:val="nil"/>
            </w:tcBorders>
            <w:shd w:val="clear" w:color="auto" w:fill="auto"/>
            <w:vAlign w:val="center"/>
            <w:hideMark/>
          </w:tcPr>
          <w:p w14:paraId="01E3DA87"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-0.038*</w:t>
            </w:r>
          </w:p>
        </w:tc>
        <w:tc>
          <w:tcPr>
            <w:tcW w:w="477" w:type="pct"/>
            <w:tcBorders>
              <w:top w:val="nil"/>
              <w:left w:val="nil"/>
              <w:bottom w:val="nil"/>
              <w:right w:val="nil"/>
            </w:tcBorders>
            <w:shd w:val="clear" w:color="auto" w:fill="auto"/>
            <w:vAlign w:val="center"/>
            <w:hideMark/>
          </w:tcPr>
          <w:p w14:paraId="1D430EC3"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1</w:t>
            </w:r>
          </w:p>
        </w:tc>
        <w:tc>
          <w:tcPr>
            <w:tcW w:w="477" w:type="pct"/>
            <w:tcBorders>
              <w:top w:val="nil"/>
              <w:left w:val="nil"/>
              <w:bottom w:val="nil"/>
              <w:right w:val="nil"/>
            </w:tcBorders>
            <w:shd w:val="clear" w:color="auto" w:fill="auto"/>
            <w:vAlign w:val="center"/>
            <w:hideMark/>
          </w:tcPr>
          <w:p w14:paraId="309A1EA4" w14:textId="77777777" w:rsidR="000E3A94" w:rsidRPr="0012595C" w:rsidRDefault="000E3A94" w:rsidP="00AD715B">
            <w:pPr>
              <w:suppressAutoHyphens w:val="0"/>
              <w:spacing w:line="240" w:lineRule="auto"/>
              <w:jc w:val="right"/>
              <w:rPr>
                <w:rFonts w:eastAsia="Times New Roman"/>
                <w:color w:val="000000"/>
                <w:lang w:val="en-KR" w:eastAsia="ko-KR"/>
              </w:rPr>
            </w:pPr>
          </w:p>
        </w:tc>
        <w:tc>
          <w:tcPr>
            <w:tcW w:w="477" w:type="pct"/>
            <w:tcBorders>
              <w:top w:val="nil"/>
              <w:left w:val="nil"/>
              <w:bottom w:val="nil"/>
              <w:right w:val="nil"/>
            </w:tcBorders>
            <w:shd w:val="clear" w:color="auto" w:fill="auto"/>
            <w:vAlign w:val="center"/>
            <w:hideMark/>
          </w:tcPr>
          <w:p w14:paraId="23965538" w14:textId="77777777" w:rsidR="000E3A94" w:rsidRPr="0012595C" w:rsidRDefault="000E3A94" w:rsidP="00AD715B">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594FFE70" w14:textId="77777777" w:rsidR="000E3A94" w:rsidRPr="0012595C" w:rsidRDefault="000E3A94" w:rsidP="00AD715B">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6CE0F842" w14:textId="77777777" w:rsidR="000E3A94" w:rsidRPr="0012595C" w:rsidRDefault="000E3A94" w:rsidP="00AD715B">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0DA0F98F" w14:textId="77777777" w:rsidR="000E3A94" w:rsidRPr="0012595C" w:rsidRDefault="000E3A94" w:rsidP="00AD715B">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7392A6E8" w14:textId="77777777" w:rsidR="000E3A94" w:rsidRPr="0012595C" w:rsidRDefault="000E3A94" w:rsidP="00AD715B">
            <w:pPr>
              <w:suppressAutoHyphens w:val="0"/>
              <w:spacing w:line="240" w:lineRule="auto"/>
              <w:jc w:val="right"/>
              <w:rPr>
                <w:rFonts w:eastAsia="Times New Roman"/>
                <w:sz w:val="20"/>
                <w:szCs w:val="20"/>
                <w:lang w:val="en-KR" w:eastAsia="ko-KR"/>
              </w:rPr>
            </w:pPr>
          </w:p>
        </w:tc>
      </w:tr>
      <w:tr w:rsidR="000E3A94" w:rsidRPr="0012595C" w14:paraId="1408B959" w14:textId="77777777" w:rsidTr="00AD715B">
        <w:trPr>
          <w:trHeight w:val="340"/>
        </w:trPr>
        <w:tc>
          <w:tcPr>
            <w:tcW w:w="711" w:type="pct"/>
            <w:tcBorders>
              <w:top w:val="nil"/>
              <w:left w:val="nil"/>
              <w:bottom w:val="nil"/>
              <w:right w:val="nil"/>
            </w:tcBorders>
            <w:shd w:val="clear" w:color="auto" w:fill="auto"/>
            <w:vAlign w:val="center"/>
            <w:hideMark/>
          </w:tcPr>
          <w:p w14:paraId="6DD12166" w14:textId="77777777" w:rsidR="000E3A94" w:rsidRPr="0012595C" w:rsidRDefault="000E3A94" w:rsidP="00AD715B">
            <w:pPr>
              <w:suppressAutoHyphens w:val="0"/>
              <w:spacing w:line="240" w:lineRule="auto"/>
              <w:rPr>
                <w:rFonts w:eastAsia="Times New Roman"/>
                <w:i/>
                <w:iCs/>
                <w:color w:val="000000"/>
                <w:lang w:val="en-KR" w:eastAsia="ko-KR"/>
              </w:rPr>
            </w:pPr>
            <w:r w:rsidRPr="0012595C">
              <w:rPr>
                <w:rFonts w:eastAsia="Times New Roman"/>
                <w:i/>
                <w:iCs/>
                <w:color w:val="000000"/>
                <w:lang w:eastAsia="ko-KR"/>
              </w:rPr>
              <w:t>(4) Solvency</w:t>
            </w:r>
          </w:p>
        </w:tc>
        <w:tc>
          <w:tcPr>
            <w:tcW w:w="477" w:type="pct"/>
            <w:tcBorders>
              <w:top w:val="nil"/>
              <w:left w:val="nil"/>
              <w:bottom w:val="nil"/>
              <w:right w:val="nil"/>
            </w:tcBorders>
            <w:shd w:val="clear" w:color="auto" w:fill="auto"/>
            <w:vAlign w:val="center"/>
            <w:hideMark/>
          </w:tcPr>
          <w:p w14:paraId="0AFB4057"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-0.027*</w:t>
            </w:r>
          </w:p>
        </w:tc>
        <w:tc>
          <w:tcPr>
            <w:tcW w:w="477" w:type="pct"/>
            <w:tcBorders>
              <w:top w:val="nil"/>
              <w:left w:val="nil"/>
              <w:bottom w:val="nil"/>
              <w:right w:val="nil"/>
            </w:tcBorders>
            <w:shd w:val="clear" w:color="auto" w:fill="auto"/>
            <w:vAlign w:val="center"/>
            <w:hideMark/>
          </w:tcPr>
          <w:p w14:paraId="63E00DDD"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-0.035*</w:t>
            </w:r>
          </w:p>
        </w:tc>
        <w:tc>
          <w:tcPr>
            <w:tcW w:w="477" w:type="pct"/>
            <w:tcBorders>
              <w:top w:val="nil"/>
              <w:left w:val="nil"/>
              <w:bottom w:val="nil"/>
              <w:right w:val="nil"/>
            </w:tcBorders>
            <w:shd w:val="clear" w:color="auto" w:fill="auto"/>
            <w:vAlign w:val="center"/>
            <w:hideMark/>
          </w:tcPr>
          <w:p w14:paraId="2580C355"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-0.034*</w:t>
            </w:r>
          </w:p>
        </w:tc>
        <w:tc>
          <w:tcPr>
            <w:tcW w:w="477" w:type="pct"/>
            <w:tcBorders>
              <w:top w:val="nil"/>
              <w:left w:val="nil"/>
              <w:bottom w:val="nil"/>
              <w:right w:val="nil"/>
            </w:tcBorders>
            <w:shd w:val="clear" w:color="auto" w:fill="auto"/>
            <w:vAlign w:val="center"/>
            <w:hideMark/>
          </w:tcPr>
          <w:p w14:paraId="57D26ADF"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1</w:t>
            </w:r>
          </w:p>
        </w:tc>
        <w:tc>
          <w:tcPr>
            <w:tcW w:w="477" w:type="pct"/>
            <w:tcBorders>
              <w:top w:val="nil"/>
              <w:left w:val="nil"/>
              <w:bottom w:val="nil"/>
              <w:right w:val="nil"/>
            </w:tcBorders>
            <w:shd w:val="clear" w:color="auto" w:fill="auto"/>
            <w:vAlign w:val="center"/>
            <w:hideMark/>
          </w:tcPr>
          <w:p w14:paraId="3E5AC26E" w14:textId="77777777" w:rsidR="000E3A94" w:rsidRPr="0012595C" w:rsidRDefault="000E3A94" w:rsidP="00AD715B">
            <w:pPr>
              <w:suppressAutoHyphens w:val="0"/>
              <w:spacing w:line="240" w:lineRule="auto"/>
              <w:jc w:val="right"/>
              <w:rPr>
                <w:rFonts w:eastAsia="Times New Roman"/>
                <w:color w:val="000000"/>
                <w:lang w:val="en-KR" w:eastAsia="ko-KR"/>
              </w:rPr>
            </w:pPr>
          </w:p>
        </w:tc>
        <w:tc>
          <w:tcPr>
            <w:tcW w:w="477" w:type="pct"/>
            <w:tcBorders>
              <w:top w:val="nil"/>
              <w:left w:val="nil"/>
              <w:bottom w:val="nil"/>
              <w:right w:val="nil"/>
            </w:tcBorders>
            <w:shd w:val="clear" w:color="auto" w:fill="auto"/>
            <w:vAlign w:val="center"/>
            <w:hideMark/>
          </w:tcPr>
          <w:p w14:paraId="3AE1D27F" w14:textId="77777777" w:rsidR="000E3A94" w:rsidRPr="0012595C" w:rsidRDefault="000E3A94" w:rsidP="00AD715B">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0455387E" w14:textId="77777777" w:rsidR="000E3A94" w:rsidRPr="0012595C" w:rsidRDefault="000E3A94" w:rsidP="00AD715B">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5464F1E5" w14:textId="77777777" w:rsidR="000E3A94" w:rsidRPr="0012595C" w:rsidRDefault="000E3A94" w:rsidP="00AD715B">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3FA0B9E7" w14:textId="77777777" w:rsidR="000E3A94" w:rsidRPr="0012595C" w:rsidRDefault="000E3A94" w:rsidP="00AD715B">
            <w:pPr>
              <w:suppressAutoHyphens w:val="0"/>
              <w:spacing w:line="240" w:lineRule="auto"/>
              <w:jc w:val="right"/>
              <w:rPr>
                <w:rFonts w:eastAsia="Times New Roman"/>
                <w:sz w:val="20"/>
                <w:szCs w:val="20"/>
                <w:lang w:val="en-KR" w:eastAsia="ko-KR"/>
              </w:rPr>
            </w:pPr>
          </w:p>
        </w:tc>
      </w:tr>
      <w:tr w:rsidR="000E3A94" w:rsidRPr="0012595C" w14:paraId="61AE460F" w14:textId="77777777" w:rsidTr="00AD715B">
        <w:trPr>
          <w:trHeight w:val="340"/>
        </w:trPr>
        <w:tc>
          <w:tcPr>
            <w:tcW w:w="711" w:type="pct"/>
            <w:tcBorders>
              <w:top w:val="nil"/>
              <w:left w:val="nil"/>
              <w:bottom w:val="nil"/>
              <w:right w:val="nil"/>
            </w:tcBorders>
            <w:shd w:val="clear" w:color="auto" w:fill="auto"/>
            <w:vAlign w:val="center"/>
            <w:hideMark/>
          </w:tcPr>
          <w:p w14:paraId="2DBB4A6C" w14:textId="77777777" w:rsidR="000E3A94" w:rsidRPr="0012595C" w:rsidRDefault="000E3A94" w:rsidP="00AD715B">
            <w:pPr>
              <w:suppressAutoHyphens w:val="0"/>
              <w:spacing w:line="240" w:lineRule="auto"/>
              <w:rPr>
                <w:rFonts w:eastAsia="Times New Roman"/>
                <w:i/>
                <w:iCs/>
                <w:color w:val="000000"/>
                <w:lang w:val="en-KR" w:eastAsia="ko-KR"/>
              </w:rPr>
            </w:pPr>
            <w:r w:rsidRPr="0012595C">
              <w:rPr>
                <w:rFonts w:eastAsia="Times New Roman"/>
                <w:i/>
                <w:iCs/>
                <w:color w:val="000000"/>
                <w:lang w:eastAsia="ko-KR"/>
              </w:rPr>
              <w:t>(5) Age</w:t>
            </w:r>
          </w:p>
        </w:tc>
        <w:tc>
          <w:tcPr>
            <w:tcW w:w="477" w:type="pct"/>
            <w:tcBorders>
              <w:top w:val="nil"/>
              <w:left w:val="nil"/>
              <w:bottom w:val="nil"/>
              <w:right w:val="nil"/>
            </w:tcBorders>
            <w:shd w:val="clear" w:color="auto" w:fill="auto"/>
            <w:vAlign w:val="center"/>
            <w:hideMark/>
          </w:tcPr>
          <w:p w14:paraId="0522E8D4"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-0.026*</w:t>
            </w:r>
          </w:p>
        </w:tc>
        <w:tc>
          <w:tcPr>
            <w:tcW w:w="477" w:type="pct"/>
            <w:tcBorders>
              <w:top w:val="nil"/>
              <w:left w:val="nil"/>
              <w:bottom w:val="nil"/>
              <w:right w:val="nil"/>
            </w:tcBorders>
            <w:shd w:val="clear" w:color="auto" w:fill="auto"/>
            <w:vAlign w:val="center"/>
            <w:hideMark/>
          </w:tcPr>
          <w:p w14:paraId="274ACD75"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-0.067*</w:t>
            </w:r>
          </w:p>
        </w:tc>
        <w:tc>
          <w:tcPr>
            <w:tcW w:w="477" w:type="pct"/>
            <w:tcBorders>
              <w:top w:val="nil"/>
              <w:left w:val="nil"/>
              <w:bottom w:val="nil"/>
              <w:right w:val="nil"/>
            </w:tcBorders>
            <w:shd w:val="clear" w:color="auto" w:fill="auto"/>
            <w:vAlign w:val="center"/>
            <w:hideMark/>
          </w:tcPr>
          <w:p w14:paraId="7BB8BD12"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-0.043*</w:t>
            </w:r>
          </w:p>
        </w:tc>
        <w:tc>
          <w:tcPr>
            <w:tcW w:w="477" w:type="pct"/>
            <w:tcBorders>
              <w:top w:val="nil"/>
              <w:left w:val="nil"/>
              <w:bottom w:val="nil"/>
              <w:right w:val="nil"/>
            </w:tcBorders>
            <w:shd w:val="clear" w:color="auto" w:fill="auto"/>
            <w:vAlign w:val="center"/>
            <w:hideMark/>
          </w:tcPr>
          <w:p w14:paraId="793A44E3"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0.080*</w:t>
            </w:r>
          </w:p>
        </w:tc>
        <w:tc>
          <w:tcPr>
            <w:tcW w:w="477" w:type="pct"/>
            <w:tcBorders>
              <w:top w:val="nil"/>
              <w:left w:val="nil"/>
              <w:bottom w:val="nil"/>
              <w:right w:val="nil"/>
            </w:tcBorders>
            <w:shd w:val="clear" w:color="auto" w:fill="auto"/>
            <w:vAlign w:val="center"/>
            <w:hideMark/>
          </w:tcPr>
          <w:p w14:paraId="4B71A124"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1</w:t>
            </w:r>
          </w:p>
        </w:tc>
        <w:tc>
          <w:tcPr>
            <w:tcW w:w="477" w:type="pct"/>
            <w:tcBorders>
              <w:top w:val="nil"/>
              <w:left w:val="nil"/>
              <w:bottom w:val="nil"/>
              <w:right w:val="nil"/>
            </w:tcBorders>
            <w:shd w:val="clear" w:color="auto" w:fill="auto"/>
            <w:vAlign w:val="center"/>
            <w:hideMark/>
          </w:tcPr>
          <w:p w14:paraId="613FB279" w14:textId="77777777" w:rsidR="000E3A94" w:rsidRPr="0012595C" w:rsidRDefault="000E3A94" w:rsidP="00AD715B">
            <w:pPr>
              <w:suppressAutoHyphens w:val="0"/>
              <w:spacing w:line="240" w:lineRule="auto"/>
              <w:jc w:val="right"/>
              <w:rPr>
                <w:rFonts w:eastAsia="Times New Roman"/>
                <w:color w:val="000000"/>
                <w:lang w:val="en-KR" w:eastAsia="ko-KR"/>
              </w:rPr>
            </w:pPr>
          </w:p>
        </w:tc>
        <w:tc>
          <w:tcPr>
            <w:tcW w:w="477" w:type="pct"/>
            <w:tcBorders>
              <w:top w:val="nil"/>
              <w:left w:val="nil"/>
              <w:bottom w:val="nil"/>
              <w:right w:val="nil"/>
            </w:tcBorders>
            <w:shd w:val="clear" w:color="auto" w:fill="auto"/>
            <w:vAlign w:val="center"/>
            <w:hideMark/>
          </w:tcPr>
          <w:p w14:paraId="63AEC856" w14:textId="77777777" w:rsidR="000E3A94" w:rsidRPr="0012595C" w:rsidRDefault="000E3A94" w:rsidP="00AD715B">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4348792A" w14:textId="77777777" w:rsidR="000E3A94" w:rsidRPr="0012595C" w:rsidRDefault="000E3A94" w:rsidP="00AD715B">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4E5D05A4" w14:textId="77777777" w:rsidR="000E3A94" w:rsidRPr="0012595C" w:rsidRDefault="000E3A94" w:rsidP="00AD715B">
            <w:pPr>
              <w:suppressAutoHyphens w:val="0"/>
              <w:spacing w:line="240" w:lineRule="auto"/>
              <w:jc w:val="right"/>
              <w:rPr>
                <w:rFonts w:eastAsia="Times New Roman"/>
                <w:sz w:val="20"/>
                <w:szCs w:val="20"/>
                <w:lang w:val="en-KR" w:eastAsia="ko-KR"/>
              </w:rPr>
            </w:pPr>
          </w:p>
        </w:tc>
      </w:tr>
      <w:tr w:rsidR="000E3A94" w:rsidRPr="0012595C" w14:paraId="496FE5F9" w14:textId="77777777" w:rsidTr="00AD715B">
        <w:trPr>
          <w:trHeight w:val="340"/>
        </w:trPr>
        <w:tc>
          <w:tcPr>
            <w:tcW w:w="711" w:type="pct"/>
            <w:tcBorders>
              <w:top w:val="nil"/>
              <w:left w:val="nil"/>
              <w:bottom w:val="nil"/>
              <w:right w:val="nil"/>
            </w:tcBorders>
            <w:shd w:val="clear" w:color="auto" w:fill="auto"/>
            <w:vAlign w:val="center"/>
            <w:hideMark/>
          </w:tcPr>
          <w:p w14:paraId="75C29359" w14:textId="77777777" w:rsidR="000E3A94" w:rsidRPr="0012595C" w:rsidRDefault="000E3A94" w:rsidP="00AD715B">
            <w:pPr>
              <w:suppressAutoHyphens w:val="0"/>
              <w:spacing w:line="240" w:lineRule="auto"/>
              <w:rPr>
                <w:rFonts w:eastAsia="Times New Roman"/>
                <w:i/>
                <w:iCs/>
                <w:color w:val="000000"/>
                <w:lang w:val="en-KR" w:eastAsia="ko-KR"/>
              </w:rPr>
            </w:pPr>
            <w:r w:rsidRPr="0012595C">
              <w:rPr>
                <w:rFonts w:eastAsia="Times New Roman"/>
                <w:i/>
                <w:iCs/>
                <w:color w:val="000000"/>
                <w:lang w:eastAsia="ko-KR"/>
              </w:rPr>
              <w:t xml:space="preserve">(6) </w:t>
            </w:r>
            <w:proofErr w:type="spellStart"/>
            <w:r w:rsidRPr="0012595C">
              <w:rPr>
                <w:rFonts w:eastAsia="Times New Roman"/>
                <w:i/>
                <w:iCs/>
                <w:color w:val="000000"/>
                <w:lang w:eastAsia="ko-KR"/>
              </w:rPr>
              <w:t>DegreeM</w:t>
            </w:r>
            <w:proofErr w:type="spellEnd"/>
          </w:p>
        </w:tc>
        <w:tc>
          <w:tcPr>
            <w:tcW w:w="477" w:type="pct"/>
            <w:tcBorders>
              <w:top w:val="nil"/>
              <w:left w:val="nil"/>
              <w:bottom w:val="nil"/>
              <w:right w:val="nil"/>
            </w:tcBorders>
            <w:shd w:val="clear" w:color="auto" w:fill="auto"/>
            <w:vAlign w:val="center"/>
            <w:hideMark/>
          </w:tcPr>
          <w:p w14:paraId="449BBEBC"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0.228*</w:t>
            </w:r>
          </w:p>
        </w:tc>
        <w:tc>
          <w:tcPr>
            <w:tcW w:w="477" w:type="pct"/>
            <w:tcBorders>
              <w:top w:val="nil"/>
              <w:left w:val="nil"/>
              <w:bottom w:val="nil"/>
              <w:right w:val="nil"/>
            </w:tcBorders>
            <w:shd w:val="clear" w:color="auto" w:fill="auto"/>
            <w:vAlign w:val="center"/>
            <w:hideMark/>
          </w:tcPr>
          <w:p w14:paraId="25F10073"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0.139*</w:t>
            </w:r>
          </w:p>
        </w:tc>
        <w:tc>
          <w:tcPr>
            <w:tcW w:w="477" w:type="pct"/>
            <w:tcBorders>
              <w:top w:val="nil"/>
              <w:left w:val="nil"/>
              <w:bottom w:val="nil"/>
              <w:right w:val="nil"/>
            </w:tcBorders>
            <w:shd w:val="clear" w:color="auto" w:fill="auto"/>
            <w:vAlign w:val="center"/>
            <w:hideMark/>
          </w:tcPr>
          <w:p w14:paraId="29AB0090"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-0.017*</w:t>
            </w:r>
          </w:p>
        </w:tc>
        <w:tc>
          <w:tcPr>
            <w:tcW w:w="477" w:type="pct"/>
            <w:tcBorders>
              <w:top w:val="nil"/>
              <w:left w:val="nil"/>
              <w:bottom w:val="nil"/>
              <w:right w:val="nil"/>
            </w:tcBorders>
            <w:shd w:val="clear" w:color="auto" w:fill="auto"/>
            <w:vAlign w:val="center"/>
            <w:hideMark/>
          </w:tcPr>
          <w:p w14:paraId="2041646A"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-0.018*</w:t>
            </w:r>
          </w:p>
        </w:tc>
        <w:tc>
          <w:tcPr>
            <w:tcW w:w="477" w:type="pct"/>
            <w:tcBorders>
              <w:top w:val="nil"/>
              <w:left w:val="nil"/>
              <w:bottom w:val="nil"/>
              <w:right w:val="nil"/>
            </w:tcBorders>
            <w:shd w:val="clear" w:color="auto" w:fill="auto"/>
            <w:vAlign w:val="center"/>
            <w:hideMark/>
          </w:tcPr>
          <w:p w14:paraId="07B5F0A8"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-0.035*</w:t>
            </w:r>
          </w:p>
        </w:tc>
        <w:tc>
          <w:tcPr>
            <w:tcW w:w="477" w:type="pct"/>
            <w:tcBorders>
              <w:top w:val="nil"/>
              <w:left w:val="nil"/>
              <w:bottom w:val="nil"/>
              <w:right w:val="nil"/>
            </w:tcBorders>
            <w:shd w:val="clear" w:color="auto" w:fill="auto"/>
            <w:vAlign w:val="center"/>
            <w:hideMark/>
          </w:tcPr>
          <w:p w14:paraId="69DE0EB5"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1</w:t>
            </w:r>
          </w:p>
        </w:tc>
        <w:tc>
          <w:tcPr>
            <w:tcW w:w="477" w:type="pct"/>
            <w:tcBorders>
              <w:top w:val="nil"/>
              <w:left w:val="nil"/>
              <w:bottom w:val="nil"/>
              <w:right w:val="nil"/>
            </w:tcBorders>
            <w:shd w:val="clear" w:color="auto" w:fill="auto"/>
            <w:vAlign w:val="center"/>
            <w:hideMark/>
          </w:tcPr>
          <w:p w14:paraId="06E72002" w14:textId="77777777" w:rsidR="000E3A94" w:rsidRPr="0012595C" w:rsidRDefault="000E3A94" w:rsidP="00AD715B">
            <w:pPr>
              <w:suppressAutoHyphens w:val="0"/>
              <w:spacing w:line="240" w:lineRule="auto"/>
              <w:jc w:val="right"/>
              <w:rPr>
                <w:rFonts w:eastAsia="Times New Roman"/>
                <w:color w:val="000000"/>
                <w:lang w:val="en-KR" w:eastAsia="ko-KR"/>
              </w:rPr>
            </w:pPr>
          </w:p>
        </w:tc>
        <w:tc>
          <w:tcPr>
            <w:tcW w:w="477" w:type="pct"/>
            <w:tcBorders>
              <w:top w:val="nil"/>
              <w:left w:val="nil"/>
              <w:bottom w:val="nil"/>
              <w:right w:val="nil"/>
            </w:tcBorders>
            <w:shd w:val="clear" w:color="auto" w:fill="auto"/>
            <w:vAlign w:val="center"/>
            <w:hideMark/>
          </w:tcPr>
          <w:p w14:paraId="6BC38F91" w14:textId="77777777" w:rsidR="000E3A94" w:rsidRPr="0012595C" w:rsidRDefault="000E3A94" w:rsidP="00AD715B">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48679946" w14:textId="77777777" w:rsidR="000E3A94" w:rsidRPr="0012595C" w:rsidRDefault="000E3A94" w:rsidP="00AD715B">
            <w:pPr>
              <w:suppressAutoHyphens w:val="0"/>
              <w:spacing w:line="240" w:lineRule="auto"/>
              <w:jc w:val="right"/>
              <w:rPr>
                <w:rFonts w:eastAsia="Times New Roman"/>
                <w:sz w:val="20"/>
                <w:szCs w:val="20"/>
                <w:lang w:val="en-KR" w:eastAsia="ko-KR"/>
              </w:rPr>
            </w:pPr>
          </w:p>
        </w:tc>
      </w:tr>
      <w:tr w:rsidR="000E3A94" w:rsidRPr="0012595C" w14:paraId="27F98391" w14:textId="77777777" w:rsidTr="00AD715B">
        <w:trPr>
          <w:trHeight w:val="340"/>
        </w:trPr>
        <w:tc>
          <w:tcPr>
            <w:tcW w:w="711" w:type="pct"/>
            <w:tcBorders>
              <w:top w:val="nil"/>
              <w:left w:val="nil"/>
              <w:bottom w:val="nil"/>
              <w:right w:val="nil"/>
            </w:tcBorders>
            <w:shd w:val="clear" w:color="auto" w:fill="auto"/>
            <w:vAlign w:val="center"/>
            <w:hideMark/>
          </w:tcPr>
          <w:p w14:paraId="64D66F9A" w14:textId="77777777" w:rsidR="000E3A94" w:rsidRPr="0012595C" w:rsidRDefault="000E3A94" w:rsidP="00AD715B">
            <w:pPr>
              <w:suppressAutoHyphens w:val="0"/>
              <w:spacing w:line="240" w:lineRule="auto"/>
              <w:rPr>
                <w:rFonts w:eastAsia="Times New Roman"/>
                <w:i/>
                <w:iCs/>
                <w:color w:val="000000"/>
                <w:lang w:val="en-KR" w:eastAsia="ko-KR"/>
              </w:rPr>
            </w:pPr>
            <w:r w:rsidRPr="0012595C">
              <w:rPr>
                <w:rFonts w:eastAsia="Times New Roman"/>
                <w:i/>
                <w:iCs/>
                <w:color w:val="000000"/>
                <w:lang w:eastAsia="ko-KR"/>
              </w:rPr>
              <w:t xml:space="preserve">(7) </w:t>
            </w:r>
            <w:proofErr w:type="spellStart"/>
            <w:r w:rsidRPr="0012595C">
              <w:rPr>
                <w:rFonts w:eastAsia="Times New Roman"/>
                <w:i/>
                <w:iCs/>
                <w:color w:val="000000"/>
                <w:lang w:eastAsia="ko-KR"/>
              </w:rPr>
              <w:t>SharesM</w:t>
            </w:r>
            <w:proofErr w:type="spellEnd"/>
          </w:p>
        </w:tc>
        <w:tc>
          <w:tcPr>
            <w:tcW w:w="477" w:type="pct"/>
            <w:tcBorders>
              <w:top w:val="nil"/>
              <w:left w:val="nil"/>
              <w:bottom w:val="nil"/>
              <w:right w:val="nil"/>
            </w:tcBorders>
            <w:shd w:val="clear" w:color="auto" w:fill="auto"/>
            <w:vAlign w:val="center"/>
            <w:hideMark/>
          </w:tcPr>
          <w:p w14:paraId="1184413D"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-0.028*</w:t>
            </w:r>
          </w:p>
        </w:tc>
        <w:tc>
          <w:tcPr>
            <w:tcW w:w="477" w:type="pct"/>
            <w:tcBorders>
              <w:top w:val="nil"/>
              <w:left w:val="nil"/>
              <w:bottom w:val="nil"/>
              <w:right w:val="nil"/>
            </w:tcBorders>
            <w:shd w:val="clear" w:color="auto" w:fill="auto"/>
            <w:vAlign w:val="center"/>
            <w:hideMark/>
          </w:tcPr>
          <w:p w14:paraId="19C76FEB"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0.092*</w:t>
            </w:r>
          </w:p>
        </w:tc>
        <w:tc>
          <w:tcPr>
            <w:tcW w:w="477" w:type="pct"/>
            <w:tcBorders>
              <w:top w:val="nil"/>
              <w:left w:val="nil"/>
              <w:bottom w:val="nil"/>
              <w:right w:val="nil"/>
            </w:tcBorders>
            <w:shd w:val="clear" w:color="auto" w:fill="auto"/>
            <w:vAlign w:val="center"/>
            <w:hideMark/>
          </w:tcPr>
          <w:p w14:paraId="131D4B0A"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0.021*</w:t>
            </w:r>
          </w:p>
        </w:tc>
        <w:tc>
          <w:tcPr>
            <w:tcW w:w="477" w:type="pct"/>
            <w:tcBorders>
              <w:top w:val="nil"/>
              <w:left w:val="nil"/>
              <w:bottom w:val="nil"/>
              <w:right w:val="nil"/>
            </w:tcBorders>
            <w:shd w:val="clear" w:color="auto" w:fill="auto"/>
            <w:vAlign w:val="center"/>
            <w:hideMark/>
          </w:tcPr>
          <w:p w14:paraId="65D468BE"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-0.045*</w:t>
            </w:r>
          </w:p>
        </w:tc>
        <w:tc>
          <w:tcPr>
            <w:tcW w:w="477" w:type="pct"/>
            <w:tcBorders>
              <w:top w:val="nil"/>
              <w:left w:val="nil"/>
              <w:bottom w:val="nil"/>
              <w:right w:val="nil"/>
            </w:tcBorders>
            <w:shd w:val="clear" w:color="auto" w:fill="auto"/>
            <w:vAlign w:val="center"/>
            <w:hideMark/>
          </w:tcPr>
          <w:p w14:paraId="20C31E03"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-0.392*</w:t>
            </w:r>
          </w:p>
        </w:tc>
        <w:tc>
          <w:tcPr>
            <w:tcW w:w="477" w:type="pct"/>
            <w:tcBorders>
              <w:top w:val="nil"/>
              <w:left w:val="nil"/>
              <w:bottom w:val="nil"/>
              <w:right w:val="nil"/>
            </w:tcBorders>
            <w:shd w:val="clear" w:color="auto" w:fill="auto"/>
            <w:vAlign w:val="center"/>
            <w:hideMark/>
          </w:tcPr>
          <w:p w14:paraId="78631C86"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-0.010</w:t>
            </w:r>
          </w:p>
        </w:tc>
        <w:tc>
          <w:tcPr>
            <w:tcW w:w="477" w:type="pct"/>
            <w:tcBorders>
              <w:top w:val="nil"/>
              <w:left w:val="nil"/>
              <w:bottom w:val="nil"/>
              <w:right w:val="nil"/>
            </w:tcBorders>
            <w:shd w:val="clear" w:color="auto" w:fill="auto"/>
            <w:vAlign w:val="center"/>
            <w:hideMark/>
          </w:tcPr>
          <w:p w14:paraId="0D4A2CCE"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1</w:t>
            </w:r>
          </w:p>
        </w:tc>
        <w:tc>
          <w:tcPr>
            <w:tcW w:w="477" w:type="pct"/>
            <w:tcBorders>
              <w:top w:val="nil"/>
              <w:left w:val="nil"/>
              <w:bottom w:val="nil"/>
              <w:right w:val="nil"/>
            </w:tcBorders>
            <w:shd w:val="clear" w:color="auto" w:fill="auto"/>
            <w:vAlign w:val="center"/>
            <w:hideMark/>
          </w:tcPr>
          <w:p w14:paraId="71A59281" w14:textId="77777777" w:rsidR="000E3A94" w:rsidRPr="0012595C" w:rsidRDefault="000E3A94" w:rsidP="00AD715B">
            <w:pPr>
              <w:suppressAutoHyphens w:val="0"/>
              <w:spacing w:line="240" w:lineRule="auto"/>
              <w:jc w:val="right"/>
              <w:rPr>
                <w:rFonts w:eastAsia="Times New Roman"/>
                <w:color w:val="000000"/>
                <w:lang w:val="en-KR" w:eastAsia="ko-KR"/>
              </w:rPr>
            </w:pPr>
          </w:p>
        </w:tc>
        <w:tc>
          <w:tcPr>
            <w:tcW w:w="477" w:type="pct"/>
            <w:tcBorders>
              <w:top w:val="nil"/>
              <w:left w:val="nil"/>
              <w:bottom w:val="nil"/>
              <w:right w:val="nil"/>
            </w:tcBorders>
            <w:shd w:val="clear" w:color="auto" w:fill="auto"/>
            <w:vAlign w:val="center"/>
            <w:hideMark/>
          </w:tcPr>
          <w:p w14:paraId="77F25D7D" w14:textId="77777777" w:rsidR="000E3A94" w:rsidRPr="0012595C" w:rsidRDefault="000E3A94" w:rsidP="00AD715B">
            <w:pPr>
              <w:suppressAutoHyphens w:val="0"/>
              <w:spacing w:line="240" w:lineRule="auto"/>
              <w:jc w:val="right"/>
              <w:rPr>
                <w:rFonts w:eastAsia="Times New Roman"/>
                <w:sz w:val="20"/>
                <w:szCs w:val="20"/>
                <w:lang w:val="en-KR" w:eastAsia="ko-KR"/>
              </w:rPr>
            </w:pPr>
          </w:p>
        </w:tc>
      </w:tr>
      <w:tr w:rsidR="000E3A94" w:rsidRPr="0012595C" w14:paraId="09583B9C" w14:textId="77777777" w:rsidTr="00AD715B">
        <w:trPr>
          <w:trHeight w:val="340"/>
        </w:trPr>
        <w:tc>
          <w:tcPr>
            <w:tcW w:w="711" w:type="pct"/>
            <w:tcBorders>
              <w:top w:val="nil"/>
              <w:left w:val="nil"/>
              <w:bottom w:val="nil"/>
              <w:right w:val="nil"/>
            </w:tcBorders>
            <w:shd w:val="clear" w:color="auto" w:fill="auto"/>
            <w:vAlign w:val="center"/>
            <w:hideMark/>
          </w:tcPr>
          <w:p w14:paraId="2A390E98" w14:textId="77777777" w:rsidR="000E3A94" w:rsidRPr="0012595C" w:rsidRDefault="000E3A94" w:rsidP="00AD715B">
            <w:pPr>
              <w:suppressAutoHyphens w:val="0"/>
              <w:spacing w:line="240" w:lineRule="auto"/>
              <w:rPr>
                <w:rFonts w:eastAsia="Times New Roman"/>
                <w:i/>
                <w:iCs/>
                <w:color w:val="000000"/>
                <w:lang w:val="en-KR" w:eastAsia="ko-KR"/>
              </w:rPr>
            </w:pPr>
            <w:r w:rsidRPr="0012595C">
              <w:rPr>
                <w:rFonts w:eastAsia="Times New Roman"/>
                <w:i/>
                <w:iCs/>
                <w:color w:val="000000"/>
                <w:lang w:eastAsia="ko-KR"/>
              </w:rPr>
              <w:t xml:space="preserve">(8) </w:t>
            </w:r>
            <w:proofErr w:type="spellStart"/>
            <w:r w:rsidRPr="0012595C">
              <w:rPr>
                <w:rFonts w:eastAsia="Times New Roman"/>
                <w:i/>
                <w:iCs/>
                <w:color w:val="000000"/>
                <w:lang w:eastAsia="ko-KR"/>
              </w:rPr>
              <w:t>FinBackM</w:t>
            </w:r>
            <w:proofErr w:type="spellEnd"/>
          </w:p>
        </w:tc>
        <w:tc>
          <w:tcPr>
            <w:tcW w:w="477" w:type="pct"/>
            <w:tcBorders>
              <w:top w:val="nil"/>
              <w:left w:val="nil"/>
              <w:bottom w:val="nil"/>
              <w:right w:val="nil"/>
            </w:tcBorders>
            <w:shd w:val="clear" w:color="auto" w:fill="auto"/>
            <w:vAlign w:val="center"/>
            <w:hideMark/>
          </w:tcPr>
          <w:p w14:paraId="69F1AA8B"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0.288*</w:t>
            </w:r>
          </w:p>
        </w:tc>
        <w:tc>
          <w:tcPr>
            <w:tcW w:w="477" w:type="pct"/>
            <w:tcBorders>
              <w:top w:val="nil"/>
              <w:left w:val="nil"/>
              <w:bottom w:val="nil"/>
              <w:right w:val="nil"/>
            </w:tcBorders>
            <w:shd w:val="clear" w:color="auto" w:fill="auto"/>
            <w:vAlign w:val="center"/>
            <w:hideMark/>
          </w:tcPr>
          <w:p w14:paraId="772881B7"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0.015*</w:t>
            </w:r>
          </w:p>
        </w:tc>
        <w:tc>
          <w:tcPr>
            <w:tcW w:w="477" w:type="pct"/>
            <w:tcBorders>
              <w:top w:val="nil"/>
              <w:left w:val="nil"/>
              <w:bottom w:val="nil"/>
              <w:right w:val="nil"/>
            </w:tcBorders>
            <w:shd w:val="clear" w:color="auto" w:fill="auto"/>
            <w:vAlign w:val="center"/>
            <w:hideMark/>
          </w:tcPr>
          <w:p w14:paraId="680546E9"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-0.034*</w:t>
            </w:r>
          </w:p>
        </w:tc>
        <w:tc>
          <w:tcPr>
            <w:tcW w:w="477" w:type="pct"/>
            <w:tcBorders>
              <w:top w:val="nil"/>
              <w:left w:val="nil"/>
              <w:bottom w:val="nil"/>
              <w:right w:val="nil"/>
            </w:tcBorders>
            <w:shd w:val="clear" w:color="auto" w:fill="auto"/>
            <w:vAlign w:val="center"/>
            <w:hideMark/>
          </w:tcPr>
          <w:p w14:paraId="2D7E3508"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0.005</w:t>
            </w:r>
          </w:p>
        </w:tc>
        <w:tc>
          <w:tcPr>
            <w:tcW w:w="477" w:type="pct"/>
            <w:tcBorders>
              <w:top w:val="nil"/>
              <w:left w:val="nil"/>
              <w:bottom w:val="nil"/>
              <w:right w:val="nil"/>
            </w:tcBorders>
            <w:shd w:val="clear" w:color="auto" w:fill="auto"/>
            <w:vAlign w:val="center"/>
            <w:hideMark/>
          </w:tcPr>
          <w:p w14:paraId="5DC54C52"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0.049*</w:t>
            </w:r>
          </w:p>
        </w:tc>
        <w:tc>
          <w:tcPr>
            <w:tcW w:w="477" w:type="pct"/>
            <w:tcBorders>
              <w:top w:val="nil"/>
              <w:left w:val="nil"/>
              <w:bottom w:val="nil"/>
              <w:right w:val="nil"/>
            </w:tcBorders>
            <w:shd w:val="clear" w:color="auto" w:fill="auto"/>
            <w:vAlign w:val="center"/>
            <w:hideMark/>
          </w:tcPr>
          <w:p w14:paraId="750DCC83"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0.175*</w:t>
            </w:r>
          </w:p>
        </w:tc>
        <w:tc>
          <w:tcPr>
            <w:tcW w:w="477" w:type="pct"/>
            <w:tcBorders>
              <w:top w:val="nil"/>
              <w:left w:val="nil"/>
              <w:bottom w:val="nil"/>
              <w:right w:val="nil"/>
            </w:tcBorders>
            <w:shd w:val="clear" w:color="auto" w:fill="auto"/>
            <w:vAlign w:val="center"/>
            <w:hideMark/>
          </w:tcPr>
          <w:p w14:paraId="2D6BBEEB"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-0.064*</w:t>
            </w:r>
          </w:p>
        </w:tc>
        <w:tc>
          <w:tcPr>
            <w:tcW w:w="477" w:type="pct"/>
            <w:tcBorders>
              <w:top w:val="nil"/>
              <w:left w:val="nil"/>
              <w:bottom w:val="nil"/>
              <w:right w:val="nil"/>
            </w:tcBorders>
            <w:shd w:val="clear" w:color="auto" w:fill="auto"/>
            <w:vAlign w:val="center"/>
            <w:hideMark/>
          </w:tcPr>
          <w:p w14:paraId="1988047B"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1</w:t>
            </w:r>
          </w:p>
        </w:tc>
        <w:tc>
          <w:tcPr>
            <w:tcW w:w="477" w:type="pct"/>
            <w:tcBorders>
              <w:top w:val="nil"/>
              <w:left w:val="nil"/>
              <w:bottom w:val="nil"/>
              <w:right w:val="nil"/>
            </w:tcBorders>
            <w:shd w:val="clear" w:color="auto" w:fill="auto"/>
            <w:vAlign w:val="center"/>
            <w:hideMark/>
          </w:tcPr>
          <w:p w14:paraId="1220A4A0" w14:textId="77777777" w:rsidR="000E3A94" w:rsidRPr="0012595C" w:rsidRDefault="000E3A94" w:rsidP="00AD715B">
            <w:pPr>
              <w:suppressAutoHyphens w:val="0"/>
              <w:spacing w:line="240" w:lineRule="auto"/>
              <w:jc w:val="right"/>
              <w:rPr>
                <w:rFonts w:eastAsia="Times New Roman"/>
                <w:color w:val="000000"/>
                <w:lang w:val="en-KR" w:eastAsia="ko-KR"/>
              </w:rPr>
            </w:pPr>
          </w:p>
        </w:tc>
      </w:tr>
      <w:tr w:rsidR="000E3A94" w:rsidRPr="0012595C" w14:paraId="55D7B33A" w14:textId="77777777" w:rsidTr="00AD715B">
        <w:trPr>
          <w:trHeight w:val="340"/>
        </w:trPr>
        <w:tc>
          <w:tcPr>
            <w:tcW w:w="711" w:type="pct"/>
            <w:tcBorders>
              <w:top w:val="nil"/>
              <w:left w:val="nil"/>
              <w:bottom w:val="single" w:sz="4" w:space="0" w:color="auto"/>
              <w:right w:val="nil"/>
            </w:tcBorders>
            <w:shd w:val="clear" w:color="auto" w:fill="auto"/>
            <w:vAlign w:val="center"/>
            <w:hideMark/>
          </w:tcPr>
          <w:p w14:paraId="18F38CF7" w14:textId="77777777" w:rsidR="000E3A94" w:rsidRPr="0012595C" w:rsidRDefault="000E3A94" w:rsidP="00AD715B">
            <w:pPr>
              <w:suppressAutoHyphens w:val="0"/>
              <w:spacing w:line="240" w:lineRule="auto"/>
              <w:rPr>
                <w:rFonts w:eastAsia="Times New Roman"/>
                <w:i/>
                <w:iCs/>
                <w:color w:val="000000"/>
                <w:lang w:val="en-KR" w:eastAsia="ko-KR"/>
              </w:rPr>
            </w:pPr>
            <w:r w:rsidRPr="0012595C">
              <w:rPr>
                <w:rFonts w:eastAsia="Times New Roman"/>
                <w:i/>
                <w:iCs/>
                <w:color w:val="000000"/>
                <w:lang w:eastAsia="ko-KR"/>
              </w:rPr>
              <w:t xml:space="preserve">(9) </w:t>
            </w:r>
            <w:proofErr w:type="spellStart"/>
            <w:r w:rsidRPr="0012595C">
              <w:rPr>
                <w:rFonts w:eastAsia="Times New Roman"/>
                <w:i/>
                <w:iCs/>
                <w:color w:val="000000"/>
                <w:lang w:eastAsia="ko-KR"/>
              </w:rPr>
              <w:t>AcademicM</w:t>
            </w:r>
            <w:proofErr w:type="spellEnd"/>
          </w:p>
        </w:tc>
        <w:tc>
          <w:tcPr>
            <w:tcW w:w="477" w:type="pct"/>
            <w:tcBorders>
              <w:top w:val="nil"/>
              <w:left w:val="nil"/>
              <w:bottom w:val="single" w:sz="4" w:space="0" w:color="auto"/>
              <w:right w:val="nil"/>
            </w:tcBorders>
            <w:shd w:val="clear" w:color="auto" w:fill="auto"/>
            <w:vAlign w:val="center"/>
            <w:hideMark/>
          </w:tcPr>
          <w:p w14:paraId="5273A989"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0.166*</w:t>
            </w:r>
          </w:p>
        </w:tc>
        <w:tc>
          <w:tcPr>
            <w:tcW w:w="477" w:type="pct"/>
            <w:tcBorders>
              <w:top w:val="nil"/>
              <w:left w:val="nil"/>
              <w:bottom w:val="single" w:sz="4" w:space="0" w:color="auto"/>
              <w:right w:val="nil"/>
            </w:tcBorders>
            <w:shd w:val="clear" w:color="auto" w:fill="auto"/>
            <w:vAlign w:val="center"/>
            <w:hideMark/>
          </w:tcPr>
          <w:p w14:paraId="3A3BC363"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0.099*</w:t>
            </w:r>
          </w:p>
        </w:tc>
        <w:tc>
          <w:tcPr>
            <w:tcW w:w="477" w:type="pct"/>
            <w:tcBorders>
              <w:top w:val="nil"/>
              <w:left w:val="nil"/>
              <w:bottom w:val="single" w:sz="4" w:space="0" w:color="auto"/>
              <w:right w:val="nil"/>
            </w:tcBorders>
            <w:shd w:val="clear" w:color="auto" w:fill="auto"/>
            <w:vAlign w:val="center"/>
            <w:hideMark/>
          </w:tcPr>
          <w:p w14:paraId="21C385E8"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-0.001</w:t>
            </w:r>
          </w:p>
        </w:tc>
        <w:tc>
          <w:tcPr>
            <w:tcW w:w="477" w:type="pct"/>
            <w:tcBorders>
              <w:top w:val="nil"/>
              <w:left w:val="nil"/>
              <w:bottom w:val="single" w:sz="4" w:space="0" w:color="auto"/>
              <w:right w:val="nil"/>
            </w:tcBorders>
            <w:shd w:val="clear" w:color="auto" w:fill="auto"/>
            <w:vAlign w:val="center"/>
            <w:hideMark/>
          </w:tcPr>
          <w:p w14:paraId="64F4E00F"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-0.027*</w:t>
            </w:r>
          </w:p>
        </w:tc>
        <w:tc>
          <w:tcPr>
            <w:tcW w:w="477" w:type="pct"/>
            <w:tcBorders>
              <w:top w:val="nil"/>
              <w:left w:val="nil"/>
              <w:bottom w:val="single" w:sz="4" w:space="0" w:color="auto"/>
              <w:right w:val="nil"/>
            </w:tcBorders>
            <w:shd w:val="clear" w:color="auto" w:fill="auto"/>
            <w:vAlign w:val="center"/>
            <w:hideMark/>
          </w:tcPr>
          <w:p w14:paraId="214483EE"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-0.134*</w:t>
            </w:r>
          </w:p>
        </w:tc>
        <w:tc>
          <w:tcPr>
            <w:tcW w:w="477" w:type="pct"/>
            <w:tcBorders>
              <w:top w:val="nil"/>
              <w:left w:val="nil"/>
              <w:bottom w:val="single" w:sz="4" w:space="0" w:color="auto"/>
              <w:right w:val="nil"/>
            </w:tcBorders>
            <w:shd w:val="clear" w:color="auto" w:fill="auto"/>
            <w:vAlign w:val="center"/>
            <w:hideMark/>
          </w:tcPr>
          <w:p w14:paraId="5C860B30"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0.235*</w:t>
            </w:r>
          </w:p>
        </w:tc>
        <w:tc>
          <w:tcPr>
            <w:tcW w:w="477" w:type="pct"/>
            <w:tcBorders>
              <w:top w:val="nil"/>
              <w:left w:val="nil"/>
              <w:bottom w:val="single" w:sz="4" w:space="0" w:color="auto"/>
              <w:right w:val="nil"/>
            </w:tcBorders>
            <w:shd w:val="clear" w:color="auto" w:fill="auto"/>
            <w:vAlign w:val="center"/>
            <w:hideMark/>
          </w:tcPr>
          <w:p w14:paraId="1D682674"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0.146*</w:t>
            </w:r>
          </w:p>
        </w:tc>
        <w:tc>
          <w:tcPr>
            <w:tcW w:w="477" w:type="pct"/>
            <w:tcBorders>
              <w:top w:val="nil"/>
              <w:left w:val="nil"/>
              <w:bottom w:val="single" w:sz="4" w:space="0" w:color="auto"/>
              <w:right w:val="nil"/>
            </w:tcBorders>
            <w:shd w:val="clear" w:color="auto" w:fill="auto"/>
            <w:vAlign w:val="center"/>
            <w:hideMark/>
          </w:tcPr>
          <w:p w14:paraId="3F97E6D7"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0.045*</w:t>
            </w:r>
          </w:p>
        </w:tc>
        <w:tc>
          <w:tcPr>
            <w:tcW w:w="477" w:type="pct"/>
            <w:tcBorders>
              <w:top w:val="nil"/>
              <w:left w:val="nil"/>
              <w:bottom w:val="single" w:sz="4" w:space="0" w:color="auto"/>
              <w:right w:val="nil"/>
            </w:tcBorders>
            <w:shd w:val="clear" w:color="auto" w:fill="auto"/>
            <w:vAlign w:val="center"/>
            <w:hideMark/>
          </w:tcPr>
          <w:p w14:paraId="417F9082" w14:textId="77777777" w:rsidR="000E3A94" w:rsidRPr="0012595C" w:rsidRDefault="000E3A94" w:rsidP="00AD715B">
            <w:pPr>
              <w:suppressAutoHyphens w:val="0"/>
              <w:spacing w:line="240" w:lineRule="auto"/>
              <w:jc w:val="right"/>
              <w:rPr>
                <w:rFonts w:eastAsia="Times New Roman"/>
                <w:color w:val="000000"/>
                <w:lang w:val="en-KR" w:eastAsia="ko-KR"/>
              </w:rPr>
            </w:pPr>
            <w:r w:rsidRPr="0012595C">
              <w:rPr>
                <w:rFonts w:eastAsia="Times New Roman"/>
                <w:color w:val="000000"/>
                <w:lang w:eastAsia="ko-KR"/>
              </w:rPr>
              <w:t>1</w:t>
            </w:r>
          </w:p>
        </w:tc>
      </w:tr>
    </w:tbl>
    <w:p w14:paraId="4F039668" w14:textId="77777777" w:rsidR="000E3A94" w:rsidRDefault="000E3A94" w:rsidP="000E3A94">
      <w:pPr>
        <w:rPr>
          <w:i/>
          <w:iCs/>
          <w:color w:val="000000" w:themeColor="text1"/>
        </w:rPr>
      </w:pPr>
      <w:r w:rsidRPr="00172AD7">
        <w:rPr>
          <w:i/>
          <w:iCs/>
          <w:color w:val="000000" w:themeColor="text1"/>
        </w:rPr>
        <w:t>Note. *** p&lt;0.01, ** p&lt;0.05, * p&lt;0.1</w:t>
      </w:r>
    </w:p>
    <w:p w14:paraId="57ADE18E" w14:textId="77777777" w:rsidR="000E3A94" w:rsidRPr="00172AD7" w:rsidRDefault="000E3A94" w:rsidP="000E3A94">
      <w:pPr>
        <w:rPr>
          <w:i/>
          <w:iCs/>
          <w:color w:val="000000" w:themeColor="text1"/>
        </w:rPr>
      </w:pPr>
    </w:p>
    <w:p w14:paraId="44B2F341" w14:textId="77777777" w:rsidR="000E3A94" w:rsidRDefault="000E3A94" w:rsidP="000E3A94">
      <w:pPr>
        <w:rPr>
          <w:b/>
          <w:bCs/>
          <w:color w:val="000000" w:themeColor="text1"/>
        </w:rPr>
        <w:sectPr w:rsidR="000E3A94" w:rsidSect="000E3A94">
          <w:pgSz w:w="15840" w:h="12240" w:orient="landscape" w:code="1"/>
          <w:pgMar w:top="1440" w:right="1440" w:bottom="1440" w:left="1440" w:header="720" w:footer="720" w:gutter="0"/>
          <w:pgNumType w:start="1"/>
          <w:cols w:space="720"/>
          <w:docGrid w:linePitch="360"/>
        </w:sectPr>
      </w:pPr>
    </w:p>
    <w:p w14:paraId="202AE952" w14:textId="77777777" w:rsidR="000E3A94" w:rsidRPr="00172AD7" w:rsidRDefault="000E3A94" w:rsidP="000E3A94">
      <w:pPr>
        <w:rPr>
          <w:b/>
          <w:bCs/>
          <w:color w:val="000000" w:themeColor="text1"/>
        </w:rPr>
      </w:pPr>
      <w:r w:rsidRPr="00172AD7">
        <w:rPr>
          <w:b/>
          <w:bCs/>
          <w:color w:val="000000" w:themeColor="text1"/>
        </w:rPr>
        <w:lastRenderedPageBreak/>
        <w:t xml:space="preserve">Table </w:t>
      </w:r>
      <w:r>
        <w:rPr>
          <w:b/>
          <w:bCs/>
          <w:color w:val="000000" w:themeColor="text1"/>
        </w:rPr>
        <w:t>4</w:t>
      </w:r>
    </w:p>
    <w:p w14:paraId="2945A710" w14:textId="77777777" w:rsidR="000E3A94" w:rsidRPr="00172AD7" w:rsidRDefault="000E3A94" w:rsidP="000E3A94">
      <w:pPr>
        <w:rPr>
          <w:i/>
          <w:iCs/>
          <w:color w:val="000000" w:themeColor="text1"/>
        </w:rPr>
      </w:pPr>
      <w:r w:rsidRPr="00172AD7">
        <w:rPr>
          <w:i/>
          <w:iCs/>
          <w:color w:val="000000" w:themeColor="text1"/>
        </w:rPr>
        <w:t>Impact of Digital Technologies on Workforce Education</w:t>
      </w:r>
    </w:p>
    <w:tbl>
      <w:tblPr>
        <w:tblW w:w="10320" w:type="dxa"/>
        <w:tblInd w:w="108" w:type="dxa"/>
        <w:tblLook w:val="04A0" w:firstRow="1" w:lastRow="0" w:firstColumn="1" w:lastColumn="0" w:noHBand="0" w:noVBand="1"/>
      </w:tblPr>
      <w:tblGrid>
        <w:gridCol w:w="2520"/>
        <w:gridCol w:w="1300"/>
        <w:gridCol w:w="1300"/>
        <w:gridCol w:w="1300"/>
        <w:gridCol w:w="1300"/>
        <w:gridCol w:w="1300"/>
        <w:gridCol w:w="1300"/>
      </w:tblGrid>
      <w:tr w:rsidR="000E3A94" w:rsidRPr="000E22B3" w14:paraId="2902E729" w14:textId="77777777" w:rsidTr="00AD715B">
        <w:trPr>
          <w:trHeight w:val="340"/>
        </w:trPr>
        <w:tc>
          <w:tcPr>
            <w:tcW w:w="2520" w:type="dxa"/>
            <w:tcBorders>
              <w:top w:val="single" w:sz="4" w:space="0" w:color="auto"/>
              <w:left w:val="nil"/>
              <w:bottom w:val="nil"/>
              <w:right w:val="nil"/>
            </w:tcBorders>
            <w:shd w:val="clear" w:color="auto" w:fill="auto"/>
            <w:vAlign w:val="center"/>
            <w:hideMark/>
          </w:tcPr>
          <w:p w14:paraId="7026D418" w14:textId="77777777" w:rsidR="000E3A94" w:rsidRPr="000E22B3" w:rsidRDefault="000E3A94" w:rsidP="00AD715B">
            <w:pPr>
              <w:suppressAutoHyphens w:val="0"/>
              <w:spacing w:line="240" w:lineRule="auto"/>
              <w:rPr>
                <w:rFonts w:eastAsia="Times New Roman"/>
                <w:color w:val="000000"/>
                <w:lang w:val="en-KR" w:eastAsia="ko-KR"/>
              </w:rPr>
            </w:pPr>
            <w:r w:rsidRPr="000E22B3">
              <w:rPr>
                <w:rFonts w:eastAsia="Times New Roman"/>
                <w:color w:val="000000"/>
                <w:lang w:val="en-GB" w:eastAsia="ko-KR"/>
              </w:rPr>
              <w:t> </w:t>
            </w:r>
          </w:p>
        </w:tc>
        <w:tc>
          <w:tcPr>
            <w:tcW w:w="1300" w:type="dxa"/>
            <w:tcBorders>
              <w:top w:val="single" w:sz="4" w:space="0" w:color="auto"/>
              <w:left w:val="nil"/>
              <w:bottom w:val="nil"/>
              <w:right w:val="nil"/>
            </w:tcBorders>
            <w:shd w:val="clear" w:color="auto" w:fill="auto"/>
            <w:vAlign w:val="center"/>
            <w:hideMark/>
          </w:tcPr>
          <w:p w14:paraId="1CA3A145" w14:textId="77777777" w:rsidR="000E3A94" w:rsidRPr="000E22B3" w:rsidRDefault="000E3A94" w:rsidP="00AD715B">
            <w:pPr>
              <w:suppressAutoHyphens w:val="0"/>
              <w:spacing w:line="240" w:lineRule="auto"/>
              <w:jc w:val="center"/>
              <w:rPr>
                <w:rFonts w:eastAsia="Times New Roman"/>
                <w:color w:val="000000"/>
                <w:lang w:val="en-KR" w:eastAsia="ko-KR"/>
              </w:rPr>
            </w:pPr>
            <w:r w:rsidRPr="000E22B3">
              <w:rPr>
                <w:rFonts w:eastAsia="Times New Roman"/>
                <w:color w:val="000000"/>
                <w:lang w:val="en-KR" w:eastAsia="ko-KR"/>
              </w:rPr>
              <w:t>(1)</w:t>
            </w:r>
          </w:p>
        </w:tc>
        <w:tc>
          <w:tcPr>
            <w:tcW w:w="1300" w:type="dxa"/>
            <w:tcBorders>
              <w:top w:val="single" w:sz="4" w:space="0" w:color="auto"/>
              <w:left w:val="nil"/>
              <w:bottom w:val="nil"/>
              <w:right w:val="nil"/>
            </w:tcBorders>
            <w:shd w:val="clear" w:color="auto" w:fill="auto"/>
            <w:vAlign w:val="center"/>
            <w:hideMark/>
          </w:tcPr>
          <w:p w14:paraId="4C6E93FB" w14:textId="77777777" w:rsidR="000E3A94" w:rsidRPr="000E22B3" w:rsidRDefault="000E3A94" w:rsidP="00AD715B">
            <w:pPr>
              <w:suppressAutoHyphens w:val="0"/>
              <w:spacing w:line="240" w:lineRule="auto"/>
              <w:jc w:val="center"/>
              <w:rPr>
                <w:rFonts w:eastAsia="Times New Roman"/>
                <w:color w:val="000000"/>
                <w:lang w:val="en-KR" w:eastAsia="ko-KR"/>
              </w:rPr>
            </w:pPr>
            <w:r w:rsidRPr="000E22B3">
              <w:rPr>
                <w:rFonts w:eastAsia="Times New Roman"/>
                <w:color w:val="000000"/>
                <w:lang w:eastAsia="ko-KR"/>
              </w:rPr>
              <w:t>(2)</w:t>
            </w:r>
          </w:p>
        </w:tc>
        <w:tc>
          <w:tcPr>
            <w:tcW w:w="1300" w:type="dxa"/>
            <w:tcBorders>
              <w:top w:val="single" w:sz="4" w:space="0" w:color="auto"/>
              <w:left w:val="nil"/>
              <w:bottom w:val="nil"/>
              <w:right w:val="nil"/>
            </w:tcBorders>
            <w:shd w:val="clear" w:color="auto" w:fill="auto"/>
            <w:vAlign w:val="center"/>
            <w:hideMark/>
          </w:tcPr>
          <w:p w14:paraId="492FDBB3" w14:textId="77777777" w:rsidR="000E3A94" w:rsidRPr="000E22B3" w:rsidRDefault="000E3A94" w:rsidP="00AD715B">
            <w:pPr>
              <w:suppressAutoHyphens w:val="0"/>
              <w:spacing w:line="240" w:lineRule="auto"/>
              <w:jc w:val="center"/>
              <w:rPr>
                <w:rFonts w:eastAsia="Times New Roman"/>
                <w:color w:val="000000"/>
                <w:lang w:val="en-KR" w:eastAsia="ko-KR"/>
              </w:rPr>
            </w:pPr>
            <w:r w:rsidRPr="000E22B3">
              <w:rPr>
                <w:rFonts w:eastAsia="Times New Roman"/>
                <w:color w:val="000000"/>
                <w:lang w:eastAsia="ko-KR"/>
              </w:rPr>
              <w:t>(3)</w:t>
            </w:r>
          </w:p>
        </w:tc>
        <w:tc>
          <w:tcPr>
            <w:tcW w:w="1300" w:type="dxa"/>
            <w:tcBorders>
              <w:top w:val="single" w:sz="4" w:space="0" w:color="auto"/>
              <w:left w:val="nil"/>
              <w:bottom w:val="nil"/>
              <w:right w:val="nil"/>
            </w:tcBorders>
            <w:shd w:val="clear" w:color="auto" w:fill="auto"/>
            <w:vAlign w:val="center"/>
            <w:hideMark/>
          </w:tcPr>
          <w:p w14:paraId="4C0C41DC" w14:textId="77777777" w:rsidR="000E3A94" w:rsidRPr="000E22B3" w:rsidRDefault="000E3A94" w:rsidP="00AD715B">
            <w:pPr>
              <w:suppressAutoHyphens w:val="0"/>
              <w:spacing w:line="240" w:lineRule="auto"/>
              <w:jc w:val="center"/>
              <w:rPr>
                <w:rFonts w:eastAsia="Times New Roman"/>
                <w:color w:val="000000"/>
                <w:lang w:val="en-KR" w:eastAsia="ko-KR"/>
              </w:rPr>
            </w:pPr>
            <w:r w:rsidRPr="000E22B3">
              <w:rPr>
                <w:rFonts w:eastAsia="Times New Roman"/>
                <w:color w:val="000000"/>
                <w:lang w:eastAsia="ko-KR"/>
              </w:rPr>
              <w:t>(4)</w:t>
            </w:r>
          </w:p>
        </w:tc>
        <w:tc>
          <w:tcPr>
            <w:tcW w:w="1300" w:type="dxa"/>
            <w:tcBorders>
              <w:top w:val="single" w:sz="4" w:space="0" w:color="auto"/>
              <w:left w:val="nil"/>
              <w:bottom w:val="nil"/>
              <w:right w:val="nil"/>
            </w:tcBorders>
            <w:shd w:val="clear" w:color="auto" w:fill="auto"/>
            <w:vAlign w:val="center"/>
            <w:hideMark/>
          </w:tcPr>
          <w:p w14:paraId="0D477AFA" w14:textId="77777777" w:rsidR="000E3A94" w:rsidRPr="000E22B3" w:rsidRDefault="000E3A94" w:rsidP="00AD715B">
            <w:pPr>
              <w:suppressAutoHyphens w:val="0"/>
              <w:spacing w:line="240" w:lineRule="auto"/>
              <w:jc w:val="center"/>
              <w:rPr>
                <w:rFonts w:eastAsia="Times New Roman"/>
                <w:color w:val="000000"/>
                <w:lang w:val="en-KR" w:eastAsia="ko-KR"/>
              </w:rPr>
            </w:pPr>
            <w:r w:rsidRPr="000E22B3">
              <w:rPr>
                <w:rFonts w:eastAsia="Times New Roman"/>
                <w:color w:val="000000"/>
                <w:lang w:eastAsia="ko-KR"/>
              </w:rPr>
              <w:t>(5)</w:t>
            </w:r>
          </w:p>
        </w:tc>
        <w:tc>
          <w:tcPr>
            <w:tcW w:w="1300" w:type="dxa"/>
            <w:tcBorders>
              <w:top w:val="single" w:sz="4" w:space="0" w:color="auto"/>
              <w:left w:val="nil"/>
              <w:bottom w:val="nil"/>
              <w:right w:val="nil"/>
            </w:tcBorders>
            <w:shd w:val="clear" w:color="auto" w:fill="auto"/>
            <w:vAlign w:val="center"/>
            <w:hideMark/>
          </w:tcPr>
          <w:p w14:paraId="0A458B6F" w14:textId="77777777" w:rsidR="000E3A94" w:rsidRPr="000E22B3" w:rsidRDefault="000E3A94" w:rsidP="00AD715B">
            <w:pPr>
              <w:suppressAutoHyphens w:val="0"/>
              <w:spacing w:line="240" w:lineRule="auto"/>
              <w:jc w:val="center"/>
              <w:rPr>
                <w:rFonts w:eastAsia="Times New Roman"/>
                <w:color w:val="000000"/>
                <w:lang w:val="en-KR" w:eastAsia="ko-KR"/>
              </w:rPr>
            </w:pPr>
            <w:r w:rsidRPr="000E22B3">
              <w:rPr>
                <w:rFonts w:eastAsia="Times New Roman"/>
                <w:color w:val="000000"/>
                <w:lang w:eastAsia="ko-KR"/>
              </w:rPr>
              <w:t>(6)</w:t>
            </w:r>
          </w:p>
        </w:tc>
      </w:tr>
      <w:tr w:rsidR="000E3A94" w:rsidRPr="000E22B3" w14:paraId="009E51A0" w14:textId="77777777" w:rsidTr="00AD715B">
        <w:trPr>
          <w:trHeight w:val="340"/>
        </w:trPr>
        <w:tc>
          <w:tcPr>
            <w:tcW w:w="2520" w:type="dxa"/>
            <w:tcBorders>
              <w:top w:val="nil"/>
              <w:left w:val="nil"/>
              <w:bottom w:val="single" w:sz="4" w:space="0" w:color="auto"/>
              <w:right w:val="nil"/>
            </w:tcBorders>
            <w:shd w:val="clear" w:color="auto" w:fill="auto"/>
            <w:vAlign w:val="center"/>
            <w:hideMark/>
          </w:tcPr>
          <w:p w14:paraId="6F6ACE75" w14:textId="77777777" w:rsidR="000E3A94" w:rsidRPr="000E22B3" w:rsidRDefault="000E3A94" w:rsidP="00AD715B">
            <w:pPr>
              <w:suppressAutoHyphens w:val="0"/>
              <w:spacing w:line="240" w:lineRule="auto"/>
              <w:jc w:val="center"/>
              <w:rPr>
                <w:rFonts w:eastAsia="Times New Roman"/>
                <w:color w:val="000000"/>
                <w:lang w:val="en-KR" w:eastAsia="ko-KR"/>
              </w:rPr>
            </w:pPr>
            <w:r w:rsidRPr="000E22B3">
              <w:rPr>
                <w:rFonts w:eastAsia="Times New Roman"/>
                <w:color w:val="000000"/>
                <w:lang w:val="en-GB" w:eastAsia="ko-KR"/>
              </w:rPr>
              <w:t>VARIABLES</w:t>
            </w:r>
          </w:p>
        </w:tc>
        <w:tc>
          <w:tcPr>
            <w:tcW w:w="1300" w:type="dxa"/>
            <w:tcBorders>
              <w:top w:val="nil"/>
              <w:left w:val="nil"/>
              <w:bottom w:val="single" w:sz="4" w:space="0" w:color="auto"/>
              <w:right w:val="nil"/>
            </w:tcBorders>
            <w:shd w:val="clear" w:color="auto" w:fill="auto"/>
            <w:vAlign w:val="center"/>
            <w:hideMark/>
          </w:tcPr>
          <w:p w14:paraId="6F7F520A" w14:textId="77777777" w:rsidR="000E3A94" w:rsidRPr="000E22B3" w:rsidRDefault="000E3A94" w:rsidP="00AD715B">
            <w:pPr>
              <w:suppressAutoHyphens w:val="0"/>
              <w:spacing w:line="240" w:lineRule="auto"/>
              <w:jc w:val="center"/>
              <w:rPr>
                <w:rFonts w:eastAsia="Times New Roman"/>
                <w:i/>
                <w:iCs/>
                <w:color w:val="000000"/>
                <w:lang w:val="en-KR" w:eastAsia="ko-KR"/>
              </w:rPr>
            </w:pPr>
            <w:proofErr w:type="spellStart"/>
            <w:r w:rsidRPr="000E22B3">
              <w:rPr>
                <w:rFonts w:eastAsia="Times New Roman"/>
                <w:i/>
                <w:iCs/>
                <w:color w:val="000000"/>
                <w:lang w:val="en-GB" w:eastAsia="ko-KR"/>
              </w:rPr>
              <w:t>Degreep</w:t>
            </w:r>
            <w:proofErr w:type="spellEnd"/>
          </w:p>
        </w:tc>
        <w:tc>
          <w:tcPr>
            <w:tcW w:w="1300" w:type="dxa"/>
            <w:tcBorders>
              <w:top w:val="nil"/>
              <w:left w:val="nil"/>
              <w:bottom w:val="single" w:sz="4" w:space="0" w:color="auto"/>
              <w:right w:val="nil"/>
            </w:tcBorders>
            <w:shd w:val="clear" w:color="auto" w:fill="auto"/>
            <w:vAlign w:val="center"/>
            <w:hideMark/>
          </w:tcPr>
          <w:p w14:paraId="027B4D49" w14:textId="77777777" w:rsidR="000E3A94" w:rsidRPr="000E22B3" w:rsidRDefault="000E3A94" w:rsidP="00AD715B">
            <w:pPr>
              <w:suppressAutoHyphens w:val="0"/>
              <w:spacing w:line="240" w:lineRule="auto"/>
              <w:jc w:val="center"/>
              <w:rPr>
                <w:rFonts w:eastAsia="Times New Roman"/>
                <w:i/>
                <w:iCs/>
                <w:color w:val="000000"/>
                <w:lang w:val="en-KR" w:eastAsia="ko-KR"/>
              </w:rPr>
            </w:pPr>
            <w:proofErr w:type="spellStart"/>
            <w:r w:rsidRPr="000E22B3">
              <w:rPr>
                <w:rFonts w:eastAsia="Times New Roman"/>
                <w:i/>
                <w:iCs/>
                <w:color w:val="000000"/>
                <w:lang w:val="en-GB" w:eastAsia="ko-KR"/>
              </w:rPr>
              <w:t>Degreep</w:t>
            </w:r>
            <w:proofErr w:type="spellEnd"/>
          </w:p>
        </w:tc>
        <w:tc>
          <w:tcPr>
            <w:tcW w:w="1300" w:type="dxa"/>
            <w:tcBorders>
              <w:top w:val="nil"/>
              <w:left w:val="nil"/>
              <w:bottom w:val="single" w:sz="4" w:space="0" w:color="auto"/>
              <w:right w:val="nil"/>
            </w:tcBorders>
            <w:shd w:val="clear" w:color="auto" w:fill="auto"/>
            <w:vAlign w:val="center"/>
            <w:hideMark/>
          </w:tcPr>
          <w:p w14:paraId="4F50A28A" w14:textId="77777777" w:rsidR="000E3A94" w:rsidRPr="000E22B3" w:rsidRDefault="000E3A94" w:rsidP="00AD715B">
            <w:pPr>
              <w:suppressAutoHyphens w:val="0"/>
              <w:spacing w:line="240" w:lineRule="auto"/>
              <w:jc w:val="center"/>
              <w:rPr>
                <w:rFonts w:eastAsia="Times New Roman"/>
                <w:i/>
                <w:iCs/>
                <w:color w:val="000000"/>
                <w:lang w:val="en-KR" w:eastAsia="ko-KR"/>
              </w:rPr>
            </w:pPr>
            <w:proofErr w:type="spellStart"/>
            <w:r w:rsidRPr="000E22B3">
              <w:rPr>
                <w:rFonts w:eastAsia="Times New Roman"/>
                <w:i/>
                <w:iCs/>
                <w:color w:val="000000"/>
                <w:lang w:val="en-GB" w:eastAsia="ko-KR"/>
              </w:rPr>
              <w:t>Degreep</w:t>
            </w:r>
            <w:proofErr w:type="spellEnd"/>
          </w:p>
        </w:tc>
        <w:tc>
          <w:tcPr>
            <w:tcW w:w="1300" w:type="dxa"/>
            <w:tcBorders>
              <w:top w:val="nil"/>
              <w:left w:val="nil"/>
              <w:bottom w:val="single" w:sz="4" w:space="0" w:color="auto"/>
              <w:right w:val="nil"/>
            </w:tcBorders>
            <w:shd w:val="clear" w:color="auto" w:fill="auto"/>
            <w:vAlign w:val="center"/>
            <w:hideMark/>
          </w:tcPr>
          <w:p w14:paraId="63786ABD" w14:textId="77777777" w:rsidR="000E3A94" w:rsidRPr="000E22B3" w:rsidRDefault="000E3A94" w:rsidP="00AD715B">
            <w:pPr>
              <w:suppressAutoHyphens w:val="0"/>
              <w:spacing w:line="240" w:lineRule="auto"/>
              <w:jc w:val="center"/>
              <w:rPr>
                <w:rFonts w:eastAsia="Times New Roman"/>
                <w:i/>
                <w:iCs/>
                <w:color w:val="000000"/>
                <w:lang w:val="en-KR" w:eastAsia="ko-KR"/>
              </w:rPr>
            </w:pPr>
            <w:proofErr w:type="spellStart"/>
            <w:r w:rsidRPr="000E22B3">
              <w:rPr>
                <w:rFonts w:eastAsia="Times New Roman"/>
                <w:i/>
                <w:iCs/>
                <w:color w:val="000000"/>
                <w:lang w:val="en-GB" w:eastAsia="ko-KR"/>
              </w:rPr>
              <w:t>Degreep</w:t>
            </w:r>
            <w:proofErr w:type="spellEnd"/>
          </w:p>
        </w:tc>
        <w:tc>
          <w:tcPr>
            <w:tcW w:w="1300" w:type="dxa"/>
            <w:tcBorders>
              <w:top w:val="nil"/>
              <w:left w:val="nil"/>
              <w:bottom w:val="single" w:sz="4" w:space="0" w:color="auto"/>
              <w:right w:val="nil"/>
            </w:tcBorders>
            <w:shd w:val="clear" w:color="auto" w:fill="auto"/>
            <w:vAlign w:val="center"/>
            <w:hideMark/>
          </w:tcPr>
          <w:p w14:paraId="1DA3C701" w14:textId="77777777" w:rsidR="000E3A94" w:rsidRPr="000E22B3" w:rsidRDefault="000E3A94" w:rsidP="00AD715B">
            <w:pPr>
              <w:suppressAutoHyphens w:val="0"/>
              <w:spacing w:line="240" w:lineRule="auto"/>
              <w:jc w:val="center"/>
              <w:rPr>
                <w:rFonts w:eastAsia="Times New Roman"/>
                <w:i/>
                <w:iCs/>
                <w:color w:val="000000"/>
                <w:lang w:val="en-KR" w:eastAsia="ko-KR"/>
              </w:rPr>
            </w:pPr>
            <w:proofErr w:type="spellStart"/>
            <w:r w:rsidRPr="000E22B3">
              <w:rPr>
                <w:rFonts w:eastAsia="Times New Roman"/>
                <w:i/>
                <w:iCs/>
                <w:color w:val="000000"/>
                <w:lang w:val="en-GB" w:eastAsia="ko-KR"/>
              </w:rPr>
              <w:t>Degreep</w:t>
            </w:r>
            <w:proofErr w:type="spellEnd"/>
          </w:p>
        </w:tc>
        <w:tc>
          <w:tcPr>
            <w:tcW w:w="1300" w:type="dxa"/>
            <w:tcBorders>
              <w:top w:val="nil"/>
              <w:left w:val="nil"/>
              <w:bottom w:val="single" w:sz="4" w:space="0" w:color="auto"/>
              <w:right w:val="nil"/>
            </w:tcBorders>
            <w:shd w:val="clear" w:color="auto" w:fill="auto"/>
            <w:vAlign w:val="center"/>
            <w:hideMark/>
          </w:tcPr>
          <w:p w14:paraId="2F162BE2" w14:textId="77777777" w:rsidR="000E3A94" w:rsidRPr="000E22B3" w:rsidRDefault="000E3A94" w:rsidP="00AD715B">
            <w:pPr>
              <w:suppressAutoHyphens w:val="0"/>
              <w:spacing w:line="240" w:lineRule="auto"/>
              <w:jc w:val="center"/>
              <w:rPr>
                <w:rFonts w:eastAsia="Times New Roman"/>
                <w:i/>
                <w:iCs/>
                <w:color w:val="000000"/>
                <w:lang w:val="en-KR" w:eastAsia="ko-KR"/>
              </w:rPr>
            </w:pPr>
            <w:proofErr w:type="spellStart"/>
            <w:r w:rsidRPr="000E22B3">
              <w:rPr>
                <w:rFonts w:eastAsia="Times New Roman"/>
                <w:i/>
                <w:iCs/>
                <w:color w:val="000000"/>
                <w:lang w:val="en-GB" w:eastAsia="ko-KR"/>
              </w:rPr>
              <w:t>Degreep</w:t>
            </w:r>
            <w:proofErr w:type="spellEnd"/>
          </w:p>
        </w:tc>
      </w:tr>
      <w:tr w:rsidR="000E3A94" w:rsidRPr="000E22B3" w14:paraId="571E0B07" w14:textId="77777777" w:rsidTr="00AD715B">
        <w:trPr>
          <w:trHeight w:val="340"/>
        </w:trPr>
        <w:tc>
          <w:tcPr>
            <w:tcW w:w="2520" w:type="dxa"/>
            <w:tcBorders>
              <w:top w:val="nil"/>
              <w:left w:val="nil"/>
              <w:bottom w:val="nil"/>
              <w:right w:val="nil"/>
            </w:tcBorders>
            <w:shd w:val="clear" w:color="auto" w:fill="auto"/>
            <w:vAlign w:val="center"/>
            <w:hideMark/>
          </w:tcPr>
          <w:p w14:paraId="54AE1667" w14:textId="77777777" w:rsidR="000E3A94" w:rsidRPr="000E22B3" w:rsidRDefault="000E3A94" w:rsidP="00AD715B">
            <w:pPr>
              <w:suppressAutoHyphens w:val="0"/>
              <w:spacing w:line="240" w:lineRule="auto"/>
              <w:rPr>
                <w:rFonts w:eastAsia="Times New Roman"/>
                <w:i/>
                <w:iCs/>
                <w:color w:val="000000"/>
                <w:lang w:val="en-KR" w:eastAsia="ko-KR"/>
              </w:rPr>
            </w:pPr>
            <w:r w:rsidRPr="000E22B3">
              <w:rPr>
                <w:rFonts w:eastAsia="Times New Roman"/>
                <w:i/>
                <w:iCs/>
                <w:color w:val="000000"/>
                <w:lang w:val="en-GB" w:eastAsia="ko-KR"/>
              </w:rPr>
              <w:t>Total</w:t>
            </w:r>
          </w:p>
        </w:tc>
        <w:tc>
          <w:tcPr>
            <w:tcW w:w="1300" w:type="dxa"/>
            <w:tcBorders>
              <w:top w:val="nil"/>
              <w:left w:val="nil"/>
              <w:bottom w:val="nil"/>
              <w:right w:val="nil"/>
            </w:tcBorders>
            <w:shd w:val="clear" w:color="auto" w:fill="auto"/>
            <w:vAlign w:val="center"/>
            <w:hideMark/>
          </w:tcPr>
          <w:p w14:paraId="359E5EDD"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0.7464***</w:t>
            </w:r>
          </w:p>
        </w:tc>
        <w:tc>
          <w:tcPr>
            <w:tcW w:w="1300" w:type="dxa"/>
            <w:tcBorders>
              <w:top w:val="nil"/>
              <w:left w:val="nil"/>
              <w:bottom w:val="nil"/>
              <w:right w:val="nil"/>
            </w:tcBorders>
            <w:shd w:val="clear" w:color="auto" w:fill="auto"/>
            <w:vAlign w:val="center"/>
            <w:hideMark/>
          </w:tcPr>
          <w:p w14:paraId="17AA0361"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0.2991***</w:t>
            </w:r>
          </w:p>
        </w:tc>
        <w:tc>
          <w:tcPr>
            <w:tcW w:w="1300" w:type="dxa"/>
            <w:tcBorders>
              <w:top w:val="nil"/>
              <w:left w:val="nil"/>
              <w:bottom w:val="nil"/>
              <w:right w:val="nil"/>
            </w:tcBorders>
            <w:shd w:val="clear" w:color="auto" w:fill="auto"/>
            <w:vAlign w:val="center"/>
            <w:hideMark/>
          </w:tcPr>
          <w:p w14:paraId="70505177"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0.3238***</w:t>
            </w:r>
          </w:p>
        </w:tc>
        <w:tc>
          <w:tcPr>
            <w:tcW w:w="1300" w:type="dxa"/>
            <w:tcBorders>
              <w:top w:val="nil"/>
              <w:left w:val="nil"/>
              <w:bottom w:val="nil"/>
              <w:right w:val="nil"/>
            </w:tcBorders>
            <w:shd w:val="clear" w:color="auto" w:fill="auto"/>
            <w:vAlign w:val="center"/>
            <w:hideMark/>
          </w:tcPr>
          <w:p w14:paraId="54522908"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0.8405***</w:t>
            </w:r>
          </w:p>
        </w:tc>
        <w:tc>
          <w:tcPr>
            <w:tcW w:w="1300" w:type="dxa"/>
            <w:tcBorders>
              <w:top w:val="nil"/>
              <w:left w:val="nil"/>
              <w:bottom w:val="nil"/>
              <w:right w:val="nil"/>
            </w:tcBorders>
            <w:shd w:val="clear" w:color="auto" w:fill="auto"/>
            <w:vAlign w:val="center"/>
            <w:hideMark/>
          </w:tcPr>
          <w:p w14:paraId="6EFCF9D6"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0.9394***</w:t>
            </w:r>
          </w:p>
        </w:tc>
        <w:tc>
          <w:tcPr>
            <w:tcW w:w="1300" w:type="dxa"/>
            <w:tcBorders>
              <w:top w:val="nil"/>
              <w:left w:val="nil"/>
              <w:bottom w:val="nil"/>
              <w:right w:val="nil"/>
            </w:tcBorders>
            <w:shd w:val="clear" w:color="auto" w:fill="auto"/>
            <w:vAlign w:val="center"/>
            <w:hideMark/>
          </w:tcPr>
          <w:p w14:paraId="7A097017"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0.5987***</w:t>
            </w:r>
          </w:p>
        </w:tc>
      </w:tr>
      <w:tr w:rsidR="000E3A94" w:rsidRPr="000E22B3" w14:paraId="62FBF8C3" w14:textId="77777777" w:rsidTr="00AD715B">
        <w:trPr>
          <w:trHeight w:val="320"/>
        </w:trPr>
        <w:tc>
          <w:tcPr>
            <w:tcW w:w="2520" w:type="dxa"/>
            <w:tcBorders>
              <w:top w:val="nil"/>
              <w:left w:val="nil"/>
              <w:bottom w:val="nil"/>
              <w:right w:val="nil"/>
            </w:tcBorders>
            <w:shd w:val="clear" w:color="auto" w:fill="auto"/>
            <w:vAlign w:val="center"/>
            <w:hideMark/>
          </w:tcPr>
          <w:p w14:paraId="369A024E" w14:textId="77777777" w:rsidR="000E3A94" w:rsidRPr="000E22B3" w:rsidRDefault="000E3A94" w:rsidP="00AD715B">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4D57405A"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(0.0483)</w:t>
            </w:r>
          </w:p>
        </w:tc>
        <w:tc>
          <w:tcPr>
            <w:tcW w:w="1300" w:type="dxa"/>
            <w:tcBorders>
              <w:top w:val="nil"/>
              <w:left w:val="nil"/>
              <w:bottom w:val="nil"/>
              <w:right w:val="nil"/>
            </w:tcBorders>
            <w:shd w:val="clear" w:color="auto" w:fill="auto"/>
            <w:vAlign w:val="center"/>
            <w:hideMark/>
          </w:tcPr>
          <w:p w14:paraId="274CAA9E"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(0.1083)</w:t>
            </w:r>
          </w:p>
        </w:tc>
        <w:tc>
          <w:tcPr>
            <w:tcW w:w="1300" w:type="dxa"/>
            <w:tcBorders>
              <w:top w:val="nil"/>
              <w:left w:val="nil"/>
              <w:bottom w:val="nil"/>
              <w:right w:val="nil"/>
            </w:tcBorders>
            <w:shd w:val="clear" w:color="auto" w:fill="auto"/>
            <w:vAlign w:val="center"/>
            <w:hideMark/>
          </w:tcPr>
          <w:p w14:paraId="433A34C8"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(0.0744)</w:t>
            </w:r>
          </w:p>
        </w:tc>
        <w:tc>
          <w:tcPr>
            <w:tcW w:w="1300" w:type="dxa"/>
            <w:tcBorders>
              <w:top w:val="nil"/>
              <w:left w:val="nil"/>
              <w:bottom w:val="nil"/>
              <w:right w:val="nil"/>
            </w:tcBorders>
            <w:shd w:val="clear" w:color="auto" w:fill="auto"/>
            <w:vAlign w:val="center"/>
            <w:hideMark/>
          </w:tcPr>
          <w:p w14:paraId="2B07BE24"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(0.0527)</w:t>
            </w:r>
          </w:p>
        </w:tc>
        <w:tc>
          <w:tcPr>
            <w:tcW w:w="1300" w:type="dxa"/>
            <w:tcBorders>
              <w:top w:val="nil"/>
              <w:left w:val="nil"/>
              <w:bottom w:val="nil"/>
              <w:right w:val="nil"/>
            </w:tcBorders>
            <w:shd w:val="clear" w:color="auto" w:fill="auto"/>
            <w:vAlign w:val="center"/>
            <w:hideMark/>
          </w:tcPr>
          <w:p w14:paraId="63162A9E"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(0.0519)</w:t>
            </w:r>
          </w:p>
        </w:tc>
        <w:tc>
          <w:tcPr>
            <w:tcW w:w="1300" w:type="dxa"/>
            <w:tcBorders>
              <w:top w:val="nil"/>
              <w:left w:val="nil"/>
              <w:bottom w:val="nil"/>
              <w:right w:val="nil"/>
            </w:tcBorders>
            <w:shd w:val="clear" w:color="auto" w:fill="auto"/>
            <w:vAlign w:val="center"/>
            <w:hideMark/>
          </w:tcPr>
          <w:p w14:paraId="646DCA6F"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(0.0563)</w:t>
            </w:r>
          </w:p>
        </w:tc>
      </w:tr>
      <w:tr w:rsidR="000E3A94" w:rsidRPr="000E22B3" w14:paraId="53F26E70" w14:textId="77777777" w:rsidTr="00AD715B">
        <w:trPr>
          <w:trHeight w:val="340"/>
        </w:trPr>
        <w:tc>
          <w:tcPr>
            <w:tcW w:w="2520" w:type="dxa"/>
            <w:tcBorders>
              <w:top w:val="nil"/>
              <w:left w:val="nil"/>
              <w:bottom w:val="nil"/>
              <w:right w:val="nil"/>
            </w:tcBorders>
            <w:shd w:val="clear" w:color="auto" w:fill="auto"/>
            <w:vAlign w:val="center"/>
            <w:hideMark/>
          </w:tcPr>
          <w:p w14:paraId="77833504" w14:textId="77777777" w:rsidR="000E3A94" w:rsidRPr="000E22B3" w:rsidRDefault="000E3A94" w:rsidP="00AD715B">
            <w:pPr>
              <w:suppressAutoHyphens w:val="0"/>
              <w:spacing w:line="240" w:lineRule="auto"/>
              <w:rPr>
                <w:rFonts w:eastAsia="Times New Roman"/>
                <w:i/>
                <w:iCs/>
                <w:color w:val="000000"/>
                <w:lang w:val="en-KR" w:eastAsia="ko-KR"/>
              </w:rPr>
            </w:pPr>
            <w:r w:rsidRPr="000E22B3">
              <w:rPr>
                <w:rFonts w:eastAsia="Times New Roman"/>
                <w:i/>
                <w:iCs/>
                <w:color w:val="000000"/>
                <w:lang w:val="en-GB" w:eastAsia="ko-KR"/>
              </w:rPr>
              <w:t>ROA</w:t>
            </w:r>
          </w:p>
        </w:tc>
        <w:tc>
          <w:tcPr>
            <w:tcW w:w="1300" w:type="dxa"/>
            <w:tcBorders>
              <w:top w:val="nil"/>
              <w:left w:val="nil"/>
              <w:bottom w:val="nil"/>
              <w:right w:val="nil"/>
            </w:tcBorders>
            <w:shd w:val="clear" w:color="auto" w:fill="auto"/>
            <w:vAlign w:val="center"/>
            <w:hideMark/>
          </w:tcPr>
          <w:p w14:paraId="7F95D508"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1.9267***</w:t>
            </w:r>
          </w:p>
        </w:tc>
        <w:tc>
          <w:tcPr>
            <w:tcW w:w="1300" w:type="dxa"/>
            <w:tcBorders>
              <w:top w:val="nil"/>
              <w:left w:val="nil"/>
              <w:bottom w:val="nil"/>
              <w:right w:val="nil"/>
            </w:tcBorders>
            <w:shd w:val="clear" w:color="auto" w:fill="auto"/>
            <w:vAlign w:val="center"/>
            <w:hideMark/>
          </w:tcPr>
          <w:p w14:paraId="321A9A67"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1.9367***</w:t>
            </w:r>
          </w:p>
        </w:tc>
        <w:tc>
          <w:tcPr>
            <w:tcW w:w="1300" w:type="dxa"/>
            <w:tcBorders>
              <w:top w:val="nil"/>
              <w:left w:val="nil"/>
              <w:bottom w:val="nil"/>
              <w:right w:val="nil"/>
            </w:tcBorders>
            <w:shd w:val="clear" w:color="auto" w:fill="auto"/>
            <w:vAlign w:val="center"/>
            <w:hideMark/>
          </w:tcPr>
          <w:p w14:paraId="41A23D0E"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1.9879***</w:t>
            </w:r>
          </w:p>
        </w:tc>
        <w:tc>
          <w:tcPr>
            <w:tcW w:w="1300" w:type="dxa"/>
            <w:tcBorders>
              <w:top w:val="nil"/>
              <w:left w:val="nil"/>
              <w:bottom w:val="nil"/>
              <w:right w:val="nil"/>
            </w:tcBorders>
            <w:shd w:val="clear" w:color="auto" w:fill="auto"/>
            <w:vAlign w:val="center"/>
            <w:hideMark/>
          </w:tcPr>
          <w:p w14:paraId="080D218C"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1.9781***</w:t>
            </w:r>
          </w:p>
        </w:tc>
        <w:tc>
          <w:tcPr>
            <w:tcW w:w="1300" w:type="dxa"/>
            <w:tcBorders>
              <w:top w:val="nil"/>
              <w:left w:val="nil"/>
              <w:bottom w:val="nil"/>
              <w:right w:val="nil"/>
            </w:tcBorders>
            <w:shd w:val="clear" w:color="auto" w:fill="auto"/>
            <w:vAlign w:val="center"/>
            <w:hideMark/>
          </w:tcPr>
          <w:p w14:paraId="7ACCBB11"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1.8810***</w:t>
            </w:r>
          </w:p>
        </w:tc>
        <w:tc>
          <w:tcPr>
            <w:tcW w:w="1300" w:type="dxa"/>
            <w:tcBorders>
              <w:top w:val="nil"/>
              <w:left w:val="nil"/>
              <w:bottom w:val="nil"/>
              <w:right w:val="nil"/>
            </w:tcBorders>
            <w:shd w:val="clear" w:color="auto" w:fill="auto"/>
            <w:vAlign w:val="center"/>
            <w:hideMark/>
          </w:tcPr>
          <w:p w14:paraId="1B3178C2"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1.8899***</w:t>
            </w:r>
          </w:p>
        </w:tc>
      </w:tr>
      <w:tr w:rsidR="000E3A94" w:rsidRPr="000E22B3" w14:paraId="5E673666" w14:textId="77777777" w:rsidTr="00AD715B">
        <w:trPr>
          <w:trHeight w:val="320"/>
        </w:trPr>
        <w:tc>
          <w:tcPr>
            <w:tcW w:w="2520" w:type="dxa"/>
            <w:tcBorders>
              <w:top w:val="nil"/>
              <w:left w:val="nil"/>
              <w:bottom w:val="nil"/>
              <w:right w:val="nil"/>
            </w:tcBorders>
            <w:shd w:val="clear" w:color="auto" w:fill="auto"/>
            <w:vAlign w:val="center"/>
            <w:hideMark/>
          </w:tcPr>
          <w:p w14:paraId="16838EDD" w14:textId="77777777" w:rsidR="000E3A94" w:rsidRPr="000E22B3" w:rsidRDefault="000E3A94" w:rsidP="00AD715B">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500C7566"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(0.3733)</w:t>
            </w:r>
          </w:p>
        </w:tc>
        <w:tc>
          <w:tcPr>
            <w:tcW w:w="1300" w:type="dxa"/>
            <w:tcBorders>
              <w:top w:val="nil"/>
              <w:left w:val="nil"/>
              <w:bottom w:val="nil"/>
              <w:right w:val="nil"/>
            </w:tcBorders>
            <w:shd w:val="clear" w:color="auto" w:fill="auto"/>
            <w:vAlign w:val="center"/>
            <w:hideMark/>
          </w:tcPr>
          <w:p w14:paraId="09009DFA"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(0.3731)</w:t>
            </w:r>
          </w:p>
        </w:tc>
        <w:tc>
          <w:tcPr>
            <w:tcW w:w="1300" w:type="dxa"/>
            <w:tcBorders>
              <w:top w:val="nil"/>
              <w:left w:val="nil"/>
              <w:bottom w:val="nil"/>
              <w:right w:val="nil"/>
            </w:tcBorders>
            <w:shd w:val="clear" w:color="auto" w:fill="auto"/>
            <w:vAlign w:val="center"/>
            <w:hideMark/>
          </w:tcPr>
          <w:p w14:paraId="77B94414"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(0.3692)</w:t>
            </w:r>
          </w:p>
        </w:tc>
        <w:tc>
          <w:tcPr>
            <w:tcW w:w="1300" w:type="dxa"/>
            <w:tcBorders>
              <w:top w:val="nil"/>
              <w:left w:val="nil"/>
              <w:bottom w:val="nil"/>
              <w:right w:val="nil"/>
            </w:tcBorders>
            <w:shd w:val="clear" w:color="auto" w:fill="auto"/>
            <w:vAlign w:val="center"/>
            <w:hideMark/>
          </w:tcPr>
          <w:p w14:paraId="19759F51"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(0.3728)</w:t>
            </w:r>
          </w:p>
        </w:tc>
        <w:tc>
          <w:tcPr>
            <w:tcW w:w="1300" w:type="dxa"/>
            <w:tcBorders>
              <w:top w:val="nil"/>
              <w:left w:val="nil"/>
              <w:bottom w:val="nil"/>
              <w:right w:val="nil"/>
            </w:tcBorders>
            <w:shd w:val="clear" w:color="auto" w:fill="auto"/>
            <w:vAlign w:val="center"/>
            <w:hideMark/>
          </w:tcPr>
          <w:p w14:paraId="506D970E"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(0.3725)</w:t>
            </w:r>
          </w:p>
        </w:tc>
        <w:tc>
          <w:tcPr>
            <w:tcW w:w="1300" w:type="dxa"/>
            <w:tcBorders>
              <w:top w:val="nil"/>
              <w:left w:val="nil"/>
              <w:bottom w:val="nil"/>
              <w:right w:val="nil"/>
            </w:tcBorders>
            <w:shd w:val="clear" w:color="auto" w:fill="auto"/>
            <w:vAlign w:val="center"/>
            <w:hideMark/>
          </w:tcPr>
          <w:p w14:paraId="1748C982"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(0.3706)</w:t>
            </w:r>
          </w:p>
        </w:tc>
      </w:tr>
      <w:tr w:rsidR="000E3A94" w:rsidRPr="000E22B3" w14:paraId="1336795A" w14:textId="77777777" w:rsidTr="00AD715B">
        <w:trPr>
          <w:trHeight w:val="340"/>
        </w:trPr>
        <w:tc>
          <w:tcPr>
            <w:tcW w:w="2520" w:type="dxa"/>
            <w:tcBorders>
              <w:top w:val="nil"/>
              <w:left w:val="nil"/>
              <w:bottom w:val="nil"/>
              <w:right w:val="nil"/>
            </w:tcBorders>
            <w:shd w:val="clear" w:color="auto" w:fill="auto"/>
            <w:vAlign w:val="center"/>
            <w:hideMark/>
          </w:tcPr>
          <w:p w14:paraId="389ECD68" w14:textId="77777777" w:rsidR="000E3A94" w:rsidRPr="000E22B3" w:rsidRDefault="000E3A94" w:rsidP="00AD715B">
            <w:pPr>
              <w:suppressAutoHyphens w:val="0"/>
              <w:spacing w:line="240" w:lineRule="auto"/>
              <w:rPr>
                <w:rFonts w:eastAsia="Times New Roman"/>
                <w:i/>
                <w:iCs/>
                <w:color w:val="000000"/>
                <w:lang w:val="en-KR" w:eastAsia="ko-KR"/>
              </w:rPr>
            </w:pPr>
            <w:r w:rsidRPr="000E22B3">
              <w:rPr>
                <w:rFonts w:eastAsia="Times New Roman"/>
                <w:i/>
                <w:iCs/>
                <w:color w:val="000000"/>
                <w:lang w:val="en-GB" w:eastAsia="ko-KR"/>
              </w:rPr>
              <w:t>Solvency</w:t>
            </w:r>
          </w:p>
        </w:tc>
        <w:tc>
          <w:tcPr>
            <w:tcW w:w="1300" w:type="dxa"/>
            <w:tcBorders>
              <w:top w:val="nil"/>
              <w:left w:val="nil"/>
              <w:bottom w:val="nil"/>
              <w:right w:val="nil"/>
            </w:tcBorders>
            <w:shd w:val="clear" w:color="auto" w:fill="auto"/>
            <w:vAlign w:val="center"/>
            <w:hideMark/>
          </w:tcPr>
          <w:p w14:paraId="3F3AED44"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-0.1157**</w:t>
            </w:r>
          </w:p>
        </w:tc>
        <w:tc>
          <w:tcPr>
            <w:tcW w:w="1300" w:type="dxa"/>
            <w:tcBorders>
              <w:top w:val="nil"/>
              <w:left w:val="nil"/>
              <w:bottom w:val="nil"/>
              <w:right w:val="nil"/>
            </w:tcBorders>
            <w:shd w:val="clear" w:color="auto" w:fill="auto"/>
            <w:vAlign w:val="center"/>
            <w:hideMark/>
          </w:tcPr>
          <w:p w14:paraId="52AD256A"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-0.1160**</w:t>
            </w:r>
          </w:p>
        </w:tc>
        <w:tc>
          <w:tcPr>
            <w:tcW w:w="1300" w:type="dxa"/>
            <w:tcBorders>
              <w:top w:val="nil"/>
              <w:left w:val="nil"/>
              <w:bottom w:val="nil"/>
              <w:right w:val="nil"/>
            </w:tcBorders>
            <w:shd w:val="clear" w:color="auto" w:fill="auto"/>
            <w:vAlign w:val="center"/>
            <w:hideMark/>
          </w:tcPr>
          <w:p w14:paraId="578139EF"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-0.1102**</w:t>
            </w:r>
          </w:p>
        </w:tc>
        <w:tc>
          <w:tcPr>
            <w:tcW w:w="1300" w:type="dxa"/>
            <w:tcBorders>
              <w:top w:val="nil"/>
              <w:left w:val="nil"/>
              <w:bottom w:val="nil"/>
              <w:right w:val="nil"/>
            </w:tcBorders>
            <w:shd w:val="clear" w:color="auto" w:fill="auto"/>
            <w:vAlign w:val="center"/>
            <w:hideMark/>
          </w:tcPr>
          <w:p w14:paraId="13986B48"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-0.1192**</w:t>
            </w:r>
          </w:p>
        </w:tc>
        <w:tc>
          <w:tcPr>
            <w:tcW w:w="1300" w:type="dxa"/>
            <w:tcBorders>
              <w:top w:val="nil"/>
              <w:left w:val="nil"/>
              <w:bottom w:val="nil"/>
              <w:right w:val="nil"/>
            </w:tcBorders>
            <w:shd w:val="clear" w:color="auto" w:fill="auto"/>
            <w:vAlign w:val="center"/>
            <w:hideMark/>
          </w:tcPr>
          <w:p w14:paraId="59585A62"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-0.1108**</w:t>
            </w:r>
          </w:p>
        </w:tc>
        <w:tc>
          <w:tcPr>
            <w:tcW w:w="1300" w:type="dxa"/>
            <w:tcBorders>
              <w:top w:val="nil"/>
              <w:left w:val="nil"/>
              <w:bottom w:val="nil"/>
              <w:right w:val="nil"/>
            </w:tcBorders>
            <w:shd w:val="clear" w:color="auto" w:fill="auto"/>
            <w:vAlign w:val="center"/>
            <w:hideMark/>
          </w:tcPr>
          <w:p w14:paraId="2D904868"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-0.1113**</w:t>
            </w:r>
          </w:p>
        </w:tc>
      </w:tr>
      <w:tr w:rsidR="000E3A94" w:rsidRPr="000E22B3" w14:paraId="17FAA11A" w14:textId="77777777" w:rsidTr="00AD715B">
        <w:trPr>
          <w:trHeight w:val="320"/>
        </w:trPr>
        <w:tc>
          <w:tcPr>
            <w:tcW w:w="2520" w:type="dxa"/>
            <w:tcBorders>
              <w:top w:val="nil"/>
              <w:left w:val="nil"/>
              <w:bottom w:val="nil"/>
              <w:right w:val="nil"/>
            </w:tcBorders>
            <w:shd w:val="clear" w:color="auto" w:fill="auto"/>
            <w:vAlign w:val="center"/>
            <w:hideMark/>
          </w:tcPr>
          <w:p w14:paraId="2BDA34AF" w14:textId="77777777" w:rsidR="000E3A94" w:rsidRPr="000E22B3" w:rsidRDefault="000E3A94" w:rsidP="00AD715B">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6D23DFE2"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(0.0507)</w:t>
            </w:r>
          </w:p>
        </w:tc>
        <w:tc>
          <w:tcPr>
            <w:tcW w:w="1300" w:type="dxa"/>
            <w:tcBorders>
              <w:top w:val="nil"/>
              <w:left w:val="nil"/>
              <w:bottom w:val="nil"/>
              <w:right w:val="nil"/>
            </w:tcBorders>
            <w:shd w:val="clear" w:color="auto" w:fill="auto"/>
            <w:vAlign w:val="center"/>
            <w:hideMark/>
          </w:tcPr>
          <w:p w14:paraId="1450D7CA"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(0.0506)</w:t>
            </w:r>
          </w:p>
        </w:tc>
        <w:tc>
          <w:tcPr>
            <w:tcW w:w="1300" w:type="dxa"/>
            <w:tcBorders>
              <w:top w:val="nil"/>
              <w:left w:val="nil"/>
              <w:bottom w:val="nil"/>
              <w:right w:val="nil"/>
            </w:tcBorders>
            <w:shd w:val="clear" w:color="auto" w:fill="auto"/>
            <w:vAlign w:val="center"/>
            <w:hideMark/>
          </w:tcPr>
          <w:p w14:paraId="7C732F6E"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(0.0501)</w:t>
            </w:r>
          </w:p>
        </w:tc>
        <w:tc>
          <w:tcPr>
            <w:tcW w:w="1300" w:type="dxa"/>
            <w:tcBorders>
              <w:top w:val="nil"/>
              <w:left w:val="nil"/>
              <w:bottom w:val="nil"/>
              <w:right w:val="nil"/>
            </w:tcBorders>
            <w:shd w:val="clear" w:color="auto" w:fill="auto"/>
            <w:vAlign w:val="center"/>
            <w:hideMark/>
          </w:tcPr>
          <w:p w14:paraId="69EF8100"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(0.0506)</w:t>
            </w:r>
          </w:p>
        </w:tc>
        <w:tc>
          <w:tcPr>
            <w:tcW w:w="1300" w:type="dxa"/>
            <w:tcBorders>
              <w:top w:val="nil"/>
              <w:left w:val="nil"/>
              <w:bottom w:val="nil"/>
              <w:right w:val="nil"/>
            </w:tcBorders>
            <w:shd w:val="clear" w:color="auto" w:fill="auto"/>
            <w:vAlign w:val="center"/>
            <w:hideMark/>
          </w:tcPr>
          <w:p w14:paraId="2434C860"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(0.0505)</w:t>
            </w:r>
          </w:p>
        </w:tc>
        <w:tc>
          <w:tcPr>
            <w:tcW w:w="1300" w:type="dxa"/>
            <w:tcBorders>
              <w:top w:val="nil"/>
              <w:left w:val="nil"/>
              <w:bottom w:val="nil"/>
              <w:right w:val="nil"/>
            </w:tcBorders>
            <w:shd w:val="clear" w:color="auto" w:fill="auto"/>
            <w:vAlign w:val="center"/>
            <w:hideMark/>
          </w:tcPr>
          <w:p w14:paraId="17F7C985"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(0.0503)</w:t>
            </w:r>
          </w:p>
        </w:tc>
      </w:tr>
      <w:tr w:rsidR="000E3A94" w:rsidRPr="000E22B3" w14:paraId="5567B975" w14:textId="77777777" w:rsidTr="00AD715B">
        <w:trPr>
          <w:trHeight w:val="340"/>
        </w:trPr>
        <w:tc>
          <w:tcPr>
            <w:tcW w:w="2520" w:type="dxa"/>
            <w:tcBorders>
              <w:top w:val="nil"/>
              <w:left w:val="nil"/>
              <w:bottom w:val="nil"/>
              <w:right w:val="nil"/>
            </w:tcBorders>
            <w:shd w:val="clear" w:color="auto" w:fill="auto"/>
            <w:vAlign w:val="center"/>
            <w:hideMark/>
          </w:tcPr>
          <w:p w14:paraId="05031540" w14:textId="77777777" w:rsidR="000E3A94" w:rsidRPr="000E22B3" w:rsidRDefault="000E3A94" w:rsidP="00AD715B">
            <w:pPr>
              <w:suppressAutoHyphens w:val="0"/>
              <w:spacing w:line="240" w:lineRule="auto"/>
              <w:rPr>
                <w:rFonts w:eastAsia="Times New Roman"/>
                <w:i/>
                <w:iCs/>
                <w:color w:val="000000"/>
                <w:lang w:val="en-KR" w:eastAsia="ko-KR"/>
              </w:rPr>
            </w:pPr>
            <w:r w:rsidRPr="000E22B3">
              <w:rPr>
                <w:rFonts w:eastAsia="Times New Roman"/>
                <w:i/>
                <w:iCs/>
                <w:color w:val="000000"/>
                <w:lang w:val="en-GB" w:eastAsia="ko-KR"/>
              </w:rPr>
              <w:t>Age</w:t>
            </w:r>
          </w:p>
        </w:tc>
        <w:tc>
          <w:tcPr>
            <w:tcW w:w="1300" w:type="dxa"/>
            <w:tcBorders>
              <w:top w:val="nil"/>
              <w:left w:val="nil"/>
              <w:bottom w:val="nil"/>
              <w:right w:val="nil"/>
            </w:tcBorders>
            <w:shd w:val="clear" w:color="auto" w:fill="auto"/>
            <w:vAlign w:val="center"/>
            <w:hideMark/>
          </w:tcPr>
          <w:p w14:paraId="6252F192"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-0.0934*</w:t>
            </w:r>
          </w:p>
        </w:tc>
        <w:tc>
          <w:tcPr>
            <w:tcW w:w="1300" w:type="dxa"/>
            <w:tcBorders>
              <w:top w:val="nil"/>
              <w:left w:val="nil"/>
              <w:bottom w:val="nil"/>
              <w:right w:val="nil"/>
            </w:tcBorders>
            <w:shd w:val="clear" w:color="auto" w:fill="auto"/>
            <w:vAlign w:val="center"/>
            <w:hideMark/>
          </w:tcPr>
          <w:p w14:paraId="230A4628"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-0.0949*</w:t>
            </w:r>
          </w:p>
        </w:tc>
        <w:tc>
          <w:tcPr>
            <w:tcW w:w="1300" w:type="dxa"/>
            <w:tcBorders>
              <w:top w:val="nil"/>
              <w:left w:val="nil"/>
              <w:bottom w:val="nil"/>
              <w:right w:val="nil"/>
            </w:tcBorders>
            <w:shd w:val="clear" w:color="auto" w:fill="auto"/>
            <w:vAlign w:val="center"/>
            <w:hideMark/>
          </w:tcPr>
          <w:p w14:paraId="5C323762"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-0.0846*</w:t>
            </w:r>
          </w:p>
        </w:tc>
        <w:tc>
          <w:tcPr>
            <w:tcW w:w="1300" w:type="dxa"/>
            <w:tcBorders>
              <w:top w:val="nil"/>
              <w:left w:val="nil"/>
              <w:bottom w:val="nil"/>
              <w:right w:val="nil"/>
            </w:tcBorders>
            <w:shd w:val="clear" w:color="auto" w:fill="auto"/>
            <w:vAlign w:val="center"/>
            <w:hideMark/>
          </w:tcPr>
          <w:p w14:paraId="0D83960D"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-0.1931***</w:t>
            </w:r>
          </w:p>
        </w:tc>
        <w:tc>
          <w:tcPr>
            <w:tcW w:w="1300" w:type="dxa"/>
            <w:tcBorders>
              <w:top w:val="nil"/>
              <w:left w:val="nil"/>
              <w:bottom w:val="nil"/>
              <w:right w:val="nil"/>
            </w:tcBorders>
            <w:shd w:val="clear" w:color="auto" w:fill="auto"/>
            <w:vAlign w:val="center"/>
            <w:hideMark/>
          </w:tcPr>
          <w:p w14:paraId="0C203656"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-0.0954*</w:t>
            </w:r>
          </w:p>
        </w:tc>
        <w:tc>
          <w:tcPr>
            <w:tcW w:w="1300" w:type="dxa"/>
            <w:tcBorders>
              <w:top w:val="nil"/>
              <w:left w:val="nil"/>
              <w:bottom w:val="nil"/>
              <w:right w:val="nil"/>
            </w:tcBorders>
            <w:shd w:val="clear" w:color="auto" w:fill="auto"/>
            <w:vAlign w:val="center"/>
            <w:hideMark/>
          </w:tcPr>
          <w:p w14:paraId="4AD12AE7"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-0.0295</w:t>
            </w:r>
          </w:p>
        </w:tc>
      </w:tr>
      <w:tr w:rsidR="000E3A94" w:rsidRPr="000E22B3" w14:paraId="5A03902F" w14:textId="77777777" w:rsidTr="00AD715B">
        <w:trPr>
          <w:trHeight w:val="320"/>
        </w:trPr>
        <w:tc>
          <w:tcPr>
            <w:tcW w:w="2520" w:type="dxa"/>
            <w:tcBorders>
              <w:top w:val="nil"/>
              <w:left w:val="nil"/>
              <w:bottom w:val="nil"/>
              <w:right w:val="nil"/>
            </w:tcBorders>
            <w:shd w:val="clear" w:color="auto" w:fill="auto"/>
            <w:vAlign w:val="center"/>
            <w:hideMark/>
          </w:tcPr>
          <w:p w14:paraId="074299AB" w14:textId="77777777" w:rsidR="000E3A94" w:rsidRPr="000E22B3" w:rsidRDefault="000E3A94" w:rsidP="00AD715B">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210DF8A2"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(0.0498)</w:t>
            </w:r>
          </w:p>
        </w:tc>
        <w:tc>
          <w:tcPr>
            <w:tcW w:w="1300" w:type="dxa"/>
            <w:tcBorders>
              <w:top w:val="nil"/>
              <w:left w:val="nil"/>
              <w:bottom w:val="nil"/>
              <w:right w:val="nil"/>
            </w:tcBorders>
            <w:shd w:val="clear" w:color="auto" w:fill="auto"/>
            <w:vAlign w:val="center"/>
            <w:hideMark/>
          </w:tcPr>
          <w:p w14:paraId="30082B94"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(0.0498)</w:t>
            </w:r>
          </w:p>
        </w:tc>
        <w:tc>
          <w:tcPr>
            <w:tcW w:w="1300" w:type="dxa"/>
            <w:tcBorders>
              <w:top w:val="nil"/>
              <w:left w:val="nil"/>
              <w:bottom w:val="nil"/>
              <w:right w:val="nil"/>
            </w:tcBorders>
            <w:shd w:val="clear" w:color="auto" w:fill="auto"/>
            <w:vAlign w:val="center"/>
            <w:hideMark/>
          </w:tcPr>
          <w:p w14:paraId="447CA69B"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(0.0493)</w:t>
            </w:r>
          </w:p>
        </w:tc>
        <w:tc>
          <w:tcPr>
            <w:tcW w:w="1300" w:type="dxa"/>
            <w:tcBorders>
              <w:top w:val="nil"/>
              <w:left w:val="nil"/>
              <w:bottom w:val="nil"/>
              <w:right w:val="nil"/>
            </w:tcBorders>
            <w:shd w:val="clear" w:color="auto" w:fill="auto"/>
            <w:vAlign w:val="center"/>
            <w:hideMark/>
          </w:tcPr>
          <w:p w14:paraId="7D1059FA"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(0.0530)</w:t>
            </w:r>
          </w:p>
        </w:tc>
        <w:tc>
          <w:tcPr>
            <w:tcW w:w="1300" w:type="dxa"/>
            <w:tcBorders>
              <w:top w:val="nil"/>
              <w:left w:val="nil"/>
              <w:bottom w:val="nil"/>
              <w:right w:val="nil"/>
            </w:tcBorders>
            <w:shd w:val="clear" w:color="auto" w:fill="auto"/>
            <w:vAlign w:val="center"/>
            <w:hideMark/>
          </w:tcPr>
          <w:p w14:paraId="7758CB92"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(0.0497)</w:t>
            </w:r>
          </w:p>
        </w:tc>
        <w:tc>
          <w:tcPr>
            <w:tcW w:w="1300" w:type="dxa"/>
            <w:tcBorders>
              <w:top w:val="nil"/>
              <w:left w:val="nil"/>
              <w:bottom w:val="nil"/>
              <w:right w:val="nil"/>
            </w:tcBorders>
            <w:shd w:val="clear" w:color="auto" w:fill="auto"/>
            <w:vAlign w:val="center"/>
            <w:hideMark/>
          </w:tcPr>
          <w:p w14:paraId="248694B4"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(0.0497)</w:t>
            </w:r>
          </w:p>
        </w:tc>
      </w:tr>
      <w:tr w:rsidR="000E3A94" w:rsidRPr="000E22B3" w14:paraId="584D4788" w14:textId="77777777" w:rsidTr="00AD715B">
        <w:trPr>
          <w:trHeight w:val="340"/>
        </w:trPr>
        <w:tc>
          <w:tcPr>
            <w:tcW w:w="2520" w:type="dxa"/>
            <w:tcBorders>
              <w:top w:val="nil"/>
              <w:left w:val="nil"/>
              <w:bottom w:val="nil"/>
              <w:right w:val="nil"/>
            </w:tcBorders>
            <w:shd w:val="clear" w:color="auto" w:fill="auto"/>
            <w:vAlign w:val="center"/>
            <w:hideMark/>
          </w:tcPr>
          <w:p w14:paraId="55BF5043" w14:textId="77777777" w:rsidR="000E3A94" w:rsidRPr="000E22B3" w:rsidRDefault="000E3A94" w:rsidP="00AD715B">
            <w:pPr>
              <w:suppressAutoHyphens w:val="0"/>
              <w:spacing w:line="240" w:lineRule="auto"/>
              <w:rPr>
                <w:rFonts w:eastAsia="Times New Roman"/>
                <w:i/>
                <w:iCs/>
                <w:color w:val="000000"/>
                <w:lang w:val="en-KR" w:eastAsia="ko-KR"/>
              </w:rPr>
            </w:pPr>
            <w:proofErr w:type="spellStart"/>
            <w:r w:rsidRPr="000E22B3">
              <w:rPr>
                <w:rFonts w:eastAsia="Times New Roman"/>
                <w:i/>
                <w:iCs/>
                <w:color w:val="000000"/>
                <w:lang w:val="en-GB" w:eastAsia="ko-KR"/>
              </w:rPr>
              <w:t>DegreeM</w:t>
            </w:r>
            <w:proofErr w:type="spellEnd"/>
          </w:p>
        </w:tc>
        <w:tc>
          <w:tcPr>
            <w:tcW w:w="1300" w:type="dxa"/>
            <w:tcBorders>
              <w:top w:val="nil"/>
              <w:left w:val="nil"/>
              <w:bottom w:val="nil"/>
              <w:right w:val="nil"/>
            </w:tcBorders>
            <w:shd w:val="clear" w:color="auto" w:fill="auto"/>
            <w:vAlign w:val="center"/>
            <w:hideMark/>
          </w:tcPr>
          <w:p w14:paraId="2776F77A" w14:textId="77777777" w:rsidR="000E3A94" w:rsidRPr="000E22B3" w:rsidRDefault="000E3A94" w:rsidP="00AD715B">
            <w:pPr>
              <w:suppressAutoHyphens w:val="0"/>
              <w:spacing w:line="240" w:lineRule="auto"/>
              <w:rPr>
                <w:rFonts w:eastAsia="Times New Roman"/>
                <w:i/>
                <w:iCs/>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1A00D4B2"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2CEC6E2F"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2.3393***</w:t>
            </w:r>
          </w:p>
        </w:tc>
        <w:tc>
          <w:tcPr>
            <w:tcW w:w="1300" w:type="dxa"/>
            <w:tcBorders>
              <w:top w:val="nil"/>
              <w:left w:val="nil"/>
              <w:bottom w:val="nil"/>
              <w:right w:val="nil"/>
            </w:tcBorders>
            <w:shd w:val="clear" w:color="auto" w:fill="auto"/>
            <w:vAlign w:val="center"/>
            <w:hideMark/>
          </w:tcPr>
          <w:p w14:paraId="054BB96D"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45152E7D"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58A54B79" w14:textId="77777777" w:rsidR="000E3A94" w:rsidRPr="000E22B3" w:rsidRDefault="000E3A94" w:rsidP="00AD715B">
            <w:pPr>
              <w:suppressAutoHyphens w:val="0"/>
              <w:spacing w:line="240" w:lineRule="auto"/>
              <w:jc w:val="center"/>
              <w:rPr>
                <w:rFonts w:eastAsia="Times New Roman"/>
                <w:sz w:val="22"/>
                <w:szCs w:val="22"/>
                <w:lang w:val="en-KR" w:eastAsia="ko-KR"/>
              </w:rPr>
            </w:pPr>
          </w:p>
        </w:tc>
      </w:tr>
      <w:tr w:rsidR="000E3A94" w:rsidRPr="000E22B3" w14:paraId="72D57859" w14:textId="77777777" w:rsidTr="00AD715B">
        <w:trPr>
          <w:trHeight w:val="320"/>
        </w:trPr>
        <w:tc>
          <w:tcPr>
            <w:tcW w:w="2520" w:type="dxa"/>
            <w:tcBorders>
              <w:top w:val="nil"/>
              <w:left w:val="nil"/>
              <w:bottom w:val="nil"/>
              <w:right w:val="nil"/>
            </w:tcBorders>
            <w:shd w:val="clear" w:color="auto" w:fill="auto"/>
            <w:vAlign w:val="center"/>
            <w:hideMark/>
          </w:tcPr>
          <w:p w14:paraId="27BE1FCC" w14:textId="77777777" w:rsidR="000E3A94" w:rsidRPr="000E22B3"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43D6A475" w14:textId="77777777" w:rsidR="000E3A94" w:rsidRPr="000E22B3" w:rsidRDefault="000E3A94" w:rsidP="00AD715B">
            <w:pPr>
              <w:suppressAutoHyphens w:val="0"/>
              <w:spacing w:line="240" w:lineRule="auto"/>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1C70040F"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105867FA"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(0.1757)</w:t>
            </w:r>
          </w:p>
        </w:tc>
        <w:tc>
          <w:tcPr>
            <w:tcW w:w="1300" w:type="dxa"/>
            <w:tcBorders>
              <w:top w:val="nil"/>
              <w:left w:val="nil"/>
              <w:bottom w:val="nil"/>
              <w:right w:val="nil"/>
            </w:tcBorders>
            <w:shd w:val="clear" w:color="auto" w:fill="auto"/>
            <w:vAlign w:val="center"/>
            <w:hideMark/>
          </w:tcPr>
          <w:p w14:paraId="2A99A1F6"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62E7206C"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57D3C911" w14:textId="77777777" w:rsidR="000E3A94" w:rsidRPr="000E22B3" w:rsidRDefault="000E3A94" w:rsidP="00AD715B">
            <w:pPr>
              <w:suppressAutoHyphens w:val="0"/>
              <w:spacing w:line="240" w:lineRule="auto"/>
              <w:jc w:val="center"/>
              <w:rPr>
                <w:rFonts w:eastAsia="Times New Roman"/>
                <w:sz w:val="22"/>
                <w:szCs w:val="22"/>
                <w:lang w:val="en-KR" w:eastAsia="ko-KR"/>
              </w:rPr>
            </w:pPr>
          </w:p>
        </w:tc>
      </w:tr>
      <w:tr w:rsidR="000E3A94" w:rsidRPr="000E22B3" w14:paraId="4C6C973D" w14:textId="77777777" w:rsidTr="00AD715B">
        <w:trPr>
          <w:trHeight w:val="340"/>
        </w:trPr>
        <w:tc>
          <w:tcPr>
            <w:tcW w:w="2520" w:type="dxa"/>
            <w:tcBorders>
              <w:top w:val="nil"/>
              <w:left w:val="nil"/>
              <w:bottom w:val="nil"/>
              <w:right w:val="nil"/>
            </w:tcBorders>
            <w:shd w:val="clear" w:color="auto" w:fill="auto"/>
            <w:vAlign w:val="center"/>
            <w:hideMark/>
          </w:tcPr>
          <w:p w14:paraId="0276F31C" w14:textId="77777777" w:rsidR="000E3A94" w:rsidRPr="000E22B3" w:rsidRDefault="000E3A94" w:rsidP="00AD715B">
            <w:pPr>
              <w:suppressAutoHyphens w:val="0"/>
              <w:spacing w:line="240" w:lineRule="auto"/>
              <w:rPr>
                <w:rFonts w:eastAsia="Times New Roman"/>
                <w:i/>
                <w:iCs/>
                <w:color w:val="000000"/>
                <w:lang w:val="en-KR" w:eastAsia="ko-KR"/>
              </w:rPr>
            </w:pPr>
            <w:proofErr w:type="spellStart"/>
            <w:r w:rsidRPr="000E22B3">
              <w:rPr>
                <w:rFonts w:eastAsia="Times New Roman"/>
                <w:i/>
                <w:iCs/>
                <w:color w:val="000000"/>
                <w:lang w:val="en-GB" w:eastAsia="ko-KR"/>
              </w:rPr>
              <w:t>DegreeM</w:t>
            </w:r>
            <w:proofErr w:type="spellEnd"/>
            <w:r w:rsidRPr="000E22B3">
              <w:rPr>
                <w:rFonts w:eastAsia="Times New Roman"/>
                <w:i/>
                <w:iCs/>
                <w:color w:val="000000"/>
                <w:lang w:val="en-GB" w:eastAsia="ko-KR"/>
              </w:rPr>
              <w:t xml:space="preserve"> </w:t>
            </w:r>
            <w:r w:rsidRPr="000E22B3">
              <w:rPr>
                <w:rFonts w:ascii="Symbol" w:eastAsia="Times New Roman" w:hAnsi="Symbol"/>
                <w:i/>
                <w:iCs/>
                <w:color w:val="000000"/>
                <w:lang w:val="en-GB" w:eastAsia="ko-KR"/>
              </w:rPr>
              <w:t>´</w:t>
            </w:r>
            <w:r w:rsidRPr="000E22B3">
              <w:rPr>
                <w:rFonts w:eastAsia="Times New Roman"/>
                <w:i/>
                <w:iCs/>
                <w:color w:val="000000"/>
                <w:lang w:val="en-GB" w:eastAsia="ko-KR"/>
              </w:rPr>
              <w:t xml:space="preserve"> Total</w:t>
            </w:r>
          </w:p>
        </w:tc>
        <w:tc>
          <w:tcPr>
            <w:tcW w:w="1300" w:type="dxa"/>
            <w:tcBorders>
              <w:top w:val="nil"/>
              <w:left w:val="nil"/>
              <w:bottom w:val="nil"/>
              <w:right w:val="nil"/>
            </w:tcBorders>
            <w:shd w:val="clear" w:color="auto" w:fill="auto"/>
            <w:vAlign w:val="center"/>
            <w:hideMark/>
          </w:tcPr>
          <w:p w14:paraId="2859278E" w14:textId="77777777" w:rsidR="000E3A94" w:rsidRPr="000E22B3" w:rsidRDefault="000E3A94" w:rsidP="00AD715B">
            <w:pPr>
              <w:suppressAutoHyphens w:val="0"/>
              <w:spacing w:line="240" w:lineRule="auto"/>
              <w:rPr>
                <w:rFonts w:eastAsia="Times New Roman"/>
                <w:i/>
                <w:iCs/>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7F4F36C5"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1CF51FA6"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0.7886***</w:t>
            </w:r>
          </w:p>
        </w:tc>
        <w:tc>
          <w:tcPr>
            <w:tcW w:w="1300" w:type="dxa"/>
            <w:tcBorders>
              <w:top w:val="nil"/>
              <w:left w:val="nil"/>
              <w:bottom w:val="nil"/>
              <w:right w:val="nil"/>
            </w:tcBorders>
            <w:shd w:val="clear" w:color="auto" w:fill="auto"/>
            <w:vAlign w:val="center"/>
            <w:hideMark/>
          </w:tcPr>
          <w:p w14:paraId="02CBF55B"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65905390"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6CE29B4C" w14:textId="77777777" w:rsidR="000E3A94" w:rsidRPr="000E22B3" w:rsidRDefault="000E3A94" w:rsidP="00AD715B">
            <w:pPr>
              <w:suppressAutoHyphens w:val="0"/>
              <w:spacing w:line="240" w:lineRule="auto"/>
              <w:jc w:val="center"/>
              <w:rPr>
                <w:rFonts w:eastAsia="Times New Roman"/>
                <w:sz w:val="22"/>
                <w:szCs w:val="22"/>
                <w:lang w:val="en-KR" w:eastAsia="ko-KR"/>
              </w:rPr>
            </w:pPr>
          </w:p>
        </w:tc>
      </w:tr>
      <w:tr w:rsidR="000E3A94" w:rsidRPr="000E22B3" w14:paraId="43627A73" w14:textId="77777777" w:rsidTr="00AD715B">
        <w:trPr>
          <w:trHeight w:val="320"/>
        </w:trPr>
        <w:tc>
          <w:tcPr>
            <w:tcW w:w="2520" w:type="dxa"/>
            <w:tcBorders>
              <w:top w:val="nil"/>
              <w:left w:val="nil"/>
              <w:bottom w:val="nil"/>
              <w:right w:val="nil"/>
            </w:tcBorders>
            <w:shd w:val="clear" w:color="auto" w:fill="auto"/>
            <w:vAlign w:val="center"/>
            <w:hideMark/>
          </w:tcPr>
          <w:p w14:paraId="7CF2D6E6" w14:textId="77777777" w:rsidR="000E3A94" w:rsidRPr="000E22B3"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0B2B2A4C" w14:textId="77777777" w:rsidR="000E3A94" w:rsidRPr="000E22B3" w:rsidRDefault="000E3A94" w:rsidP="00AD715B">
            <w:pPr>
              <w:suppressAutoHyphens w:val="0"/>
              <w:spacing w:line="240" w:lineRule="auto"/>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120258F0"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7F1AB2EB"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(0.1315)</w:t>
            </w:r>
          </w:p>
        </w:tc>
        <w:tc>
          <w:tcPr>
            <w:tcW w:w="1300" w:type="dxa"/>
            <w:tcBorders>
              <w:top w:val="nil"/>
              <w:left w:val="nil"/>
              <w:bottom w:val="nil"/>
              <w:right w:val="nil"/>
            </w:tcBorders>
            <w:shd w:val="clear" w:color="auto" w:fill="auto"/>
            <w:vAlign w:val="center"/>
            <w:hideMark/>
          </w:tcPr>
          <w:p w14:paraId="3E4EE95E"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745B88B2"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769814CA" w14:textId="77777777" w:rsidR="000E3A94" w:rsidRPr="000E22B3" w:rsidRDefault="000E3A94" w:rsidP="00AD715B">
            <w:pPr>
              <w:suppressAutoHyphens w:val="0"/>
              <w:spacing w:line="240" w:lineRule="auto"/>
              <w:jc w:val="center"/>
              <w:rPr>
                <w:rFonts w:eastAsia="Times New Roman"/>
                <w:sz w:val="22"/>
                <w:szCs w:val="22"/>
                <w:lang w:val="en-KR" w:eastAsia="ko-KR"/>
              </w:rPr>
            </w:pPr>
          </w:p>
        </w:tc>
      </w:tr>
      <w:tr w:rsidR="000E3A94" w:rsidRPr="000E22B3" w14:paraId="0402359A" w14:textId="77777777" w:rsidTr="00AD715B">
        <w:trPr>
          <w:trHeight w:val="340"/>
        </w:trPr>
        <w:tc>
          <w:tcPr>
            <w:tcW w:w="2520" w:type="dxa"/>
            <w:tcBorders>
              <w:top w:val="nil"/>
              <w:left w:val="nil"/>
              <w:bottom w:val="nil"/>
              <w:right w:val="nil"/>
            </w:tcBorders>
            <w:shd w:val="clear" w:color="auto" w:fill="auto"/>
            <w:vAlign w:val="center"/>
            <w:hideMark/>
          </w:tcPr>
          <w:p w14:paraId="34006B5D" w14:textId="77777777" w:rsidR="000E3A94" w:rsidRPr="000E22B3" w:rsidRDefault="000E3A94" w:rsidP="00AD715B">
            <w:pPr>
              <w:suppressAutoHyphens w:val="0"/>
              <w:spacing w:line="240" w:lineRule="auto"/>
              <w:rPr>
                <w:rFonts w:eastAsia="Times New Roman"/>
                <w:i/>
                <w:iCs/>
                <w:color w:val="000000"/>
                <w:lang w:val="en-KR" w:eastAsia="ko-KR"/>
              </w:rPr>
            </w:pPr>
            <w:r w:rsidRPr="000E22B3">
              <w:rPr>
                <w:rFonts w:eastAsia="Times New Roman"/>
                <w:i/>
                <w:iCs/>
                <w:color w:val="000000"/>
                <w:lang w:val="en-GB" w:eastAsia="ko-KR"/>
              </w:rPr>
              <w:t>Total</w:t>
            </w:r>
            <w:r w:rsidRPr="000E22B3">
              <w:rPr>
                <w:rFonts w:ascii="Symbol" w:eastAsia="Times New Roman" w:hAnsi="Symbol"/>
                <w:i/>
                <w:iCs/>
                <w:color w:val="000000"/>
                <w:lang w:val="en-GB" w:eastAsia="ko-KR"/>
              </w:rPr>
              <w:t>´</w:t>
            </w:r>
            <w:r w:rsidRPr="000E22B3">
              <w:rPr>
                <w:rFonts w:eastAsia="Times New Roman"/>
                <w:i/>
                <w:iCs/>
                <w:color w:val="000000"/>
                <w:lang w:val="en-GB" w:eastAsia="ko-KR"/>
              </w:rPr>
              <w:t xml:space="preserve"> Total</w:t>
            </w:r>
          </w:p>
        </w:tc>
        <w:tc>
          <w:tcPr>
            <w:tcW w:w="1300" w:type="dxa"/>
            <w:tcBorders>
              <w:top w:val="nil"/>
              <w:left w:val="nil"/>
              <w:bottom w:val="nil"/>
              <w:right w:val="nil"/>
            </w:tcBorders>
            <w:shd w:val="clear" w:color="auto" w:fill="auto"/>
            <w:vAlign w:val="center"/>
            <w:hideMark/>
          </w:tcPr>
          <w:p w14:paraId="0F23A39B" w14:textId="77777777" w:rsidR="000E3A94" w:rsidRPr="000E22B3" w:rsidRDefault="000E3A94" w:rsidP="00AD715B">
            <w:pPr>
              <w:suppressAutoHyphens w:val="0"/>
              <w:spacing w:line="240" w:lineRule="auto"/>
              <w:rPr>
                <w:rFonts w:eastAsia="Times New Roman"/>
                <w:i/>
                <w:iCs/>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65483C76"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0.1347***</w:t>
            </w:r>
          </w:p>
        </w:tc>
        <w:tc>
          <w:tcPr>
            <w:tcW w:w="1300" w:type="dxa"/>
            <w:tcBorders>
              <w:top w:val="nil"/>
              <w:left w:val="nil"/>
              <w:bottom w:val="nil"/>
              <w:right w:val="nil"/>
            </w:tcBorders>
            <w:shd w:val="clear" w:color="auto" w:fill="auto"/>
            <w:vAlign w:val="center"/>
            <w:hideMark/>
          </w:tcPr>
          <w:p w14:paraId="1F445BD4"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1C838924"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7D30FB99"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5B310E66" w14:textId="77777777" w:rsidR="000E3A94" w:rsidRPr="000E22B3" w:rsidRDefault="000E3A94" w:rsidP="00AD715B">
            <w:pPr>
              <w:suppressAutoHyphens w:val="0"/>
              <w:spacing w:line="240" w:lineRule="auto"/>
              <w:jc w:val="center"/>
              <w:rPr>
                <w:rFonts w:eastAsia="Times New Roman"/>
                <w:sz w:val="22"/>
                <w:szCs w:val="22"/>
                <w:lang w:val="en-KR" w:eastAsia="ko-KR"/>
              </w:rPr>
            </w:pPr>
          </w:p>
        </w:tc>
      </w:tr>
      <w:tr w:rsidR="000E3A94" w:rsidRPr="000E22B3" w14:paraId="26174557" w14:textId="77777777" w:rsidTr="00AD715B">
        <w:trPr>
          <w:trHeight w:val="320"/>
        </w:trPr>
        <w:tc>
          <w:tcPr>
            <w:tcW w:w="2520" w:type="dxa"/>
            <w:tcBorders>
              <w:top w:val="nil"/>
              <w:left w:val="nil"/>
              <w:bottom w:val="nil"/>
              <w:right w:val="nil"/>
            </w:tcBorders>
            <w:shd w:val="clear" w:color="auto" w:fill="auto"/>
            <w:vAlign w:val="center"/>
            <w:hideMark/>
          </w:tcPr>
          <w:p w14:paraId="63CF008D" w14:textId="77777777" w:rsidR="000E3A94" w:rsidRPr="000E22B3"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1755167D" w14:textId="77777777" w:rsidR="000E3A94" w:rsidRPr="000E22B3" w:rsidRDefault="000E3A94" w:rsidP="00AD715B">
            <w:pPr>
              <w:suppressAutoHyphens w:val="0"/>
              <w:spacing w:line="240" w:lineRule="auto"/>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364C7727"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(0.0292)</w:t>
            </w:r>
          </w:p>
        </w:tc>
        <w:tc>
          <w:tcPr>
            <w:tcW w:w="1300" w:type="dxa"/>
            <w:tcBorders>
              <w:top w:val="nil"/>
              <w:left w:val="nil"/>
              <w:bottom w:val="nil"/>
              <w:right w:val="nil"/>
            </w:tcBorders>
            <w:shd w:val="clear" w:color="auto" w:fill="auto"/>
            <w:vAlign w:val="center"/>
            <w:hideMark/>
          </w:tcPr>
          <w:p w14:paraId="2E83E06C"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14454D21"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41AC9FD0"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167BCA94" w14:textId="77777777" w:rsidR="000E3A94" w:rsidRPr="000E22B3" w:rsidRDefault="000E3A94" w:rsidP="00AD715B">
            <w:pPr>
              <w:suppressAutoHyphens w:val="0"/>
              <w:spacing w:line="240" w:lineRule="auto"/>
              <w:jc w:val="center"/>
              <w:rPr>
                <w:rFonts w:eastAsia="Times New Roman"/>
                <w:sz w:val="22"/>
                <w:szCs w:val="22"/>
                <w:lang w:val="en-KR" w:eastAsia="ko-KR"/>
              </w:rPr>
            </w:pPr>
          </w:p>
        </w:tc>
      </w:tr>
      <w:tr w:rsidR="000E3A94" w:rsidRPr="000E22B3" w14:paraId="136BD0F6" w14:textId="77777777" w:rsidTr="00AD715B">
        <w:trPr>
          <w:trHeight w:val="340"/>
        </w:trPr>
        <w:tc>
          <w:tcPr>
            <w:tcW w:w="2520" w:type="dxa"/>
            <w:tcBorders>
              <w:top w:val="nil"/>
              <w:left w:val="nil"/>
              <w:bottom w:val="nil"/>
              <w:right w:val="nil"/>
            </w:tcBorders>
            <w:shd w:val="clear" w:color="auto" w:fill="auto"/>
            <w:vAlign w:val="center"/>
            <w:hideMark/>
          </w:tcPr>
          <w:p w14:paraId="65CBEF92" w14:textId="77777777" w:rsidR="000E3A94" w:rsidRPr="000E22B3" w:rsidRDefault="000E3A94" w:rsidP="00AD715B">
            <w:pPr>
              <w:suppressAutoHyphens w:val="0"/>
              <w:spacing w:line="240" w:lineRule="auto"/>
              <w:rPr>
                <w:rFonts w:eastAsia="Times New Roman"/>
                <w:i/>
                <w:iCs/>
                <w:color w:val="000000"/>
                <w:lang w:val="en-KR" w:eastAsia="ko-KR"/>
              </w:rPr>
            </w:pPr>
            <w:proofErr w:type="spellStart"/>
            <w:r w:rsidRPr="000E22B3">
              <w:rPr>
                <w:rFonts w:eastAsia="Times New Roman"/>
                <w:i/>
                <w:iCs/>
                <w:color w:val="000000"/>
                <w:lang w:val="en-GB" w:eastAsia="ko-KR"/>
              </w:rPr>
              <w:t>SharesM</w:t>
            </w:r>
            <w:proofErr w:type="spellEnd"/>
          </w:p>
        </w:tc>
        <w:tc>
          <w:tcPr>
            <w:tcW w:w="1300" w:type="dxa"/>
            <w:tcBorders>
              <w:top w:val="nil"/>
              <w:left w:val="nil"/>
              <w:bottom w:val="nil"/>
              <w:right w:val="nil"/>
            </w:tcBorders>
            <w:shd w:val="clear" w:color="auto" w:fill="auto"/>
            <w:vAlign w:val="center"/>
            <w:hideMark/>
          </w:tcPr>
          <w:p w14:paraId="5BB2B37E" w14:textId="77777777" w:rsidR="000E3A94" w:rsidRPr="000E22B3" w:rsidRDefault="000E3A94" w:rsidP="00AD715B">
            <w:pPr>
              <w:suppressAutoHyphens w:val="0"/>
              <w:spacing w:line="240" w:lineRule="auto"/>
              <w:rPr>
                <w:rFonts w:eastAsia="Times New Roman"/>
                <w:i/>
                <w:iCs/>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719CC17C"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25B7B4A6"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139A0EDD"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-0.0127**</w:t>
            </w:r>
          </w:p>
        </w:tc>
        <w:tc>
          <w:tcPr>
            <w:tcW w:w="1300" w:type="dxa"/>
            <w:tcBorders>
              <w:top w:val="nil"/>
              <w:left w:val="nil"/>
              <w:bottom w:val="nil"/>
              <w:right w:val="nil"/>
            </w:tcBorders>
            <w:shd w:val="clear" w:color="auto" w:fill="auto"/>
            <w:vAlign w:val="center"/>
            <w:hideMark/>
          </w:tcPr>
          <w:p w14:paraId="1838DD80"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5896273A" w14:textId="77777777" w:rsidR="000E3A94" w:rsidRPr="000E22B3" w:rsidRDefault="000E3A94" w:rsidP="00AD715B">
            <w:pPr>
              <w:suppressAutoHyphens w:val="0"/>
              <w:spacing w:line="240" w:lineRule="auto"/>
              <w:jc w:val="center"/>
              <w:rPr>
                <w:rFonts w:eastAsia="Times New Roman"/>
                <w:sz w:val="22"/>
                <w:szCs w:val="22"/>
                <w:lang w:val="en-KR" w:eastAsia="ko-KR"/>
              </w:rPr>
            </w:pPr>
          </w:p>
        </w:tc>
      </w:tr>
      <w:tr w:rsidR="000E3A94" w:rsidRPr="000E22B3" w14:paraId="5645D0F9" w14:textId="77777777" w:rsidTr="00AD715B">
        <w:trPr>
          <w:trHeight w:val="320"/>
        </w:trPr>
        <w:tc>
          <w:tcPr>
            <w:tcW w:w="2520" w:type="dxa"/>
            <w:tcBorders>
              <w:top w:val="nil"/>
              <w:left w:val="nil"/>
              <w:bottom w:val="nil"/>
              <w:right w:val="nil"/>
            </w:tcBorders>
            <w:shd w:val="clear" w:color="auto" w:fill="auto"/>
            <w:vAlign w:val="center"/>
            <w:hideMark/>
          </w:tcPr>
          <w:p w14:paraId="2A3C2EA2" w14:textId="77777777" w:rsidR="000E3A94" w:rsidRPr="000E22B3"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61D5B858" w14:textId="77777777" w:rsidR="000E3A94" w:rsidRPr="000E22B3" w:rsidRDefault="000E3A94" w:rsidP="00AD715B">
            <w:pPr>
              <w:suppressAutoHyphens w:val="0"/>
              <w:spacing w:line="240" w:lineRule="auto"/>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5F0DEA59"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33E44521"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573CD2F0"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(0.0050)</w:t>
            </w:r>
          </w:p>
        </w:tc>
        <w:tc>
          <w:tcPr>
            <w:tcW w:w="1300" w:type="dxa"/>
            <w:tcBorders>
              <w:top w:val="nil"/>
              <w:left w:val="nil"/>
              <w:bottom w:val="nil"/>
              <w:right w:val="nil"/>
            </w:tcBorders>
            <w:shd w:val="clear" w:color="auto" w:fill="auto"/>
            <w:vAlign w:val="center"/>
            <w:hideMark/>
          </w:tcPr>
          <w:p w14:paraId="537513C2"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4D83D9C2" w14:textId="77777777" w:rsidR="000E3A94" w:rsidRPr="000E22B3" w:rsidRDefault="000E3A94" w:rsidP="00AD715B">
            <w:pPr>
              <w:suppressAutoHyphens w:val="0"/>
              <w:spacing w:line="240" w:lineRule="auto"/>
              <w:jc w:val="center"/>
              <w:rPr>
                <w:rFonts w:eastAsia="Times New Roman"/>
                <w:sz w:val="22"/>
                <w:szCs w:val="22"/>
                <w:lang w:val="en-KR" w:eastAsia="ko-KR"/>
              </w:rPr>
            </w:pPr>
          </w:p>
        </w:tc>
      </w:tr>
      <w:tr w:rsidR="000E3A94" w:rsidRPr="000E22B3" w14:paraId="614CB600" w14:textId="77777777" w:rsidTr="00AD715B">
        <w:trPr>
          <w:trHeight w:val="340"/>
        </w:trPr>
        <w:tc>
          <w:tcPr>
            <w:tcW w:w="2520" w:type="dxa"/>
            <w:tcBorders>
              <w:top w:val="nil"/>
              <w:left w:val="nil"/>
              <w:bottom w:val="nil"/>
              <w:right w:val="nil"/>
            </w:tcBorders>
            <w:shd w:val="clear" w:color="auto" w:fill="auto"/>
            <w:vAlign w:val="center"/>
            <w:hideMark/>
          </w:tcPr>
          <w:p w14:paraId="4F6ED711" w14:textId="77777777" w:rsidR="000E3A94" w:rsidRPr="000E22B3" w:rsidRDefault="000E3A94" w:rsidP="00AD715B">
            <w:pPr>
              <w:suppressAutoHyphens w:val="0"/>
              <w:spacing w:line="240" w:lineRule="auto"/>
              <w:rPr>
                <w:rFonts w:eastAsia="Times New Roman"/>
                <w:i/>
                <w:iCs/>
                <w:color w:val="000000"/>
                <w:lang w:val="en-KR" w:eastAsia="ko-KR"/>
              </w:rPr>
            </w:pPr>
            <w:proofErr w:type="spellStart"/>
            <w:r w:rsidRPr="000E22B3">
              <w:rPr>
                <w:rFonts w:eastAsia="Times New Roman"/>
                <w:i/>
                <w:iCs/>
                <w:color w:val="000000"/>
                <w:lang w:val="en-GB" w:eastAsia="ko-KR"/>
              </w:rPr>
              <w:t>SharesM</w:t>
            </w:r>
            <w:proofErr w:type="spellEnd"/>
            <w:r w:rsidRPr="000E22B3">
              <w:rPr>
                <w:rFonts w:eastAsia="Times New Roman"/>
                <w:i/>
                <w:iCs/>
                <w:color w:val="000000"/>
                <w:lang w:val="en-GB" w:eastAsia="ko-KR"/>
              </w:rPr>
              <w:t xml:space="preserve"> </w:t>
            </w:r>
            <w:r w:rsidRPr="000E22B3">
              <w:rPr>
                <w:rFonts w:ascii="Symbol" w:eastAsia="Times New Roman" w:hAnsi="Symbol"/>
                <w:i/>
                <w:iCs/>
                <w:color w:val="000000"/>
                <w:lang w:val="en-GB" w:eastAsia="ko-KR"/>
              </w:rPr>
              <w:t>´</w:t>
            </w:r>
            <w:r w:rsidRPr="000E22B3">
              <w:rPr>
                <w:rFonts w:eastAsia="Times New Roman"/>
                <w:i/>
                <w:iCs/>
                <w:color w:val="000000"/>
                <w:lang w:val="en-GB" w:eastAsia="ko-KR"/>
              </w:rPr>
              <w:t xml:space="preserve"> Total</w:t>
            </w:r>
          </w:p>
        </w:tc>
        <w:tc>
          <w:tcPr>
            <w:tcW w:w="1300" w:type="dxa"/>
            <w:tcBorders>
              <w:top w:val="nil"/>
              <w:left w:val="nil"/>
              <w:bottom w:val="nil"/>
              <w:right w:val="nil"/>
            </w:tcBorders>
            <w:shd w:val="clear" w:color="auto" w:fill="auto"/>
            <w:vAlign w:val="center"/>
            <w:hideMark/>
          </w:tcPr>
          <w:p w14:paraId="6A3D959E" w14:textId="77777777" w:rsidR="000E3A94" w:rsidRPr="000E22B3" w:rsidRDefault="000E3A94" w:rsidP="00AD715B">
            <w:pPr>
              <w:suppressAutoHyphens w:val="0"/>
              <w:spacing w:line="240" w:lineRule="auto"/>
              <w:rPr>
                <w:rFonts w:eastAsia="Times New Roman"/>
                <w:i/>
                <w:iCs/>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57A1C48F"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73FE8CF2"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07720871"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-0.0133***</w:t>
            </w:r>
          </w:p>
        </w:tc>
        <w:tc>
          <w:tcPr>
            <w:tcW w:w="1300" w:type="dxa"/>
            <w:tcBorders>
              <w:top w:val="nil"/>
              <w:left w:val="nil"/>
              <w:bottom w:val="nil"/>
              <w:right w:val="nil"/>
            </w:tcBorders>
            <w:shd w:val="clear" w:color="auto" w:fill="auto"/>
            <w:vAlign w:val="center"/>
            <w:hideMark/>
          </w:tcPr>
          <w:p w14:paraId="3CBA9983"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5DA014D9" w14:textId="77777777" w:rsidR="000E3A94" w:rsidRPr="000E22B3" w:rsidRDefault="000E3A94" w:rsidP="00AD715B">
            <w:pPr>
              <w:suppressAutoHyphens w:val="0"/>
              <w:spacing w:line="240" w:lineRule="auto"/>
              <w:jc w:val="center"/>
              <w:rPr>
                <w:rFonts w:eastAsia="Times New Roman"/>
                <w:sz w:val="22"/>
                <w:szCs w:val="22"/>
                <w:lang w:val="en-KR" w:eastAsia="ko-KR"/>
              </w:rPr>
            </w:pPr>
          </w:p>
        </w:tc>
      </w:tr>
      <w:tr w:rsidR="000E3A94" w:rsidRPr="000E22B3" w14:paraId="37ECAA4F" w14:textId="77777777" w:rsidTr="00AD715B">
        <w:trPr>
          <w:trHeight w:val="320"/>
        </w:trPr>
        <w:tc>
          <w:tcPr>
            <w:tcW w:w="2520" w:type="dxa"/>
            <w:tcBorders>
              <w:top w:val="nil"/>
              <w:left w:val="nil"/>
              <w:bottom w:val="nil"/>
              <w:right w:val="nil"/>
            </w:tcBorders>
            <w:shd w:val="clear" w:color="auto" w:fill="auto"/>
            <w:vAlign w:val="center"/>
            <w:hideMark/>
          </w:tcPr>
          <w:p w14:paraId="56EF10CA" w14:textId="77777777" w:rsidR="000E3A94" w:rsidRPr="000E22B3"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2C63F9B7" w14:textId="77777777" w:rsidR="000E3A94" w:rsidRPr="000E22B3" w:rsidRDefault="000E3A94" w:rsidP="00AD715B">
            <w:pPr>
              <w:suppressAutoHyphens w:val="0"/>
              <w:spacing w:line="240" w:lineRule="auto"/>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126F9D47"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5EF15E52"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6CBC4C19"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(0.0031)</w:t>
            </w:r>
          </w:p>
        </w:tc>
        <w:tc>
          <w:tcPr>
            <w:tcW w:w="1300" w:type="dxa"/>
            <w:tcBorders>
              <w:top w:val="nil"/>
              <w:left w:val="nil"/>
              <w:bottom w:val="nil"/>
              <w:right w:val="nil"/>
            </w:tcBorders>
            <w:shd w:val="clear" w:color="auto" w:fill="auto"/>
            <w:vAlign w:val="center"/>
            <w:hideMark/>
          </w:tcPr>
          <w:p w14:paraId="0EC052E5"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0338DFC1" w14:textId="77777777" w:rsidR="000E3A94" w:rsidRPr="000E22B3" w:rsidRDefault="000E3A94" w:rsidP="00AD715B">
            <w:pPr>
              <w:suppressAutoHyphens w:val="0"/>
              <w:spacing w:line="240" w:lineRule="auto"/>
              <w:jc w:val="center"/>
              <w:rPr>
                <w:rFonts w:eastAsia="Times New Roman"/>
                <w:sz w:val="22"/>
                <w:szCs w:val="22"/>
                <w:lang w:val="en-KR" w:eastAsia="ko-KR"/>
              </w:rPr>
            </w:pPr>
          </w:p>
        </w:tc>
      </w:tr>
      <w:tr w:rsidR="000E3A94" w:rsidRPr="000E22B3" w14:paraId="79CE51FB" w14:textId="77777777" w:rsidTr="00AD715B">
        <w:trPr>
          <w:trHeight w:val="340"/>
        </w:trPr>
        <w:tc>
          <w:tcPr>
            <w:tcW w:w="2520" w:type="dxa"/>
            <w:tcBorders>
              <w:top w:val="nil"/>
              <w:left w:val="nil"/>
              <w:bottom w:val="nil"/>
              <w:right w:val="nil"/>
            </w:tcBorders>
            <w:shd w:val="clear" w:color="auto" w:fill="auto"/>
            <w:vAlign w:val="center"/>
            <w:hideMark/>
          </w:tcPr>
          <w:p w14:paraId="0D4E5F36" w14:textId="77777777" w:rsidR="000E3A94" w:rsidRPr="000E22B3" w:rsidRDefault="000E3A94" w:rsidP="00AD715B">
            <w:pPr>
              <w:suppressAutoHyphens w:val="0"/>
              <w:spacing w:line="240" w:lineRule="auto"/>
              <w:rPr>
                <w:rFonts w:eastAsia="Times New Roman"/>
                <w:i/>
                <w:iCs/>
                <w:color w:val="000000"/>
                <w:lang w:val="en-KR" w:eastAsia="ko-KR"/>
              </w:rPr>
            </w:pPr>
            <w:proofErr w:type="spellStart"/>
            <w:r w:rsidRPr="000E22B3">
              <w:rPr>
                <w:rFonts w:eastAsia="Times New Roman"/>
                <w:i/>
                <w:iCs/>
                <w:color w:val="000000"/>
                <w:lang w:val="en-GB" w:eastAsia="ko-KR"/>
              </w:rPr>
              <w:t>FinBackM</w:t>
            </w:r>
            <w:proofErr w:type="spellEnd"/>
          </w:p>
        </w:tc>
        <w:tc>
          <w:tcPr>
            <w:tcW w:w="1300" w:type="dxa"/>
            <w:tcBorders>
              <w:top w:val="nil"/>
              <w:left w:val="nil"/>
              <w:bottom w:val="nil"/>
              <w:right w:val="nil"/>
            </w:tcBorders>
            <w:shd w:val="clear" w:color="auto" w:fill="auto"/>
            <w:vAlign w:val="center"/>
            <w:hideMark/>
          </w:tcPr>
          <w:p w14:paraId="12A7622D" w14:textId="77777777" w:rsidR="000E3A94" w:rsidRPr="000E22B3" w:rsidRDefault="000E3A94" w:rsidP="00AD715B">
            <w:pPr>
              <w:suppressAutoHyphens w:val="0"/>
              <w:spacing w:line="240" w:lineRule="auto"/>
              <w:rPr>
                <w:rFonts w:eastAsia="Times New Roman"/>
                <w:i/>
                <w:iCs/>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3A6E1DBB"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2D77706B"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5A207869"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2AB82F2F"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1.2502***</w:t>
            </w:r>
          </w:p>
        </w:tc>
        <w:tc>
          <w:tcPr>
            <w:tcW w:w="1300" w:type="dxa"/>
            <w:tcBorders>
              <w:top w:val="nil"/>
              <w:left w:val="nil"/>
              <w:bottom w:val="nil"/>
              <w:right w:val="nil"/>
            </w:tcBorders>
            <w:shd w:val="clear" w:color="auto" w:fill="auto"/>
            <w:vAlign w:val="center"/>
            <w:hideMark/>
          </w:tcPr>
          <w:p w14:paraId="76F6EC25"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p>
        </w:tc>
      </w:tr>
      <w:tr w:rsidR="000E3A94" w:rsidRPr="000E22B3" w14:paraId="29349B48" w14:textId="77777777" w:rsidTr="00AD715B">
        <w:trPr>
          <w:trHeight w:val="320"/>
        </w:trPr>
        <w:tc>
          <w:tcPr>
            <w:tcW w:w="2520" w:type="dxa"/>
            <w:tcBorders>
              <w:top w:val="nil"/>
              <w:left w:val="nil"/>
              <w:bottom w:val="nil"/>
              <w:right w:val="nil"/>
            </w:tcBorders>
            <w:shd w:val="clear" w:color="auto" w:fill="auto"/>
            <w:vAlign w:val="center"/>
            <w:hideMark/>
          </w:tcPr>
          <w:p w14:paraId="7B2C04D7" w14:textId="77777777" w:rsidR="000E3A94" w:rsidRPr="000E22B3"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62C29348" w14:textId="77777777" w:rsidR="000E3A94" w:rsidRPr="000E22B3" w:rsidRDefault="000E3A94" w:rsidP="00AD715B">
            <w:pPr>
              <w:suppressAutoHyphens w:val="0"/>
              <w:spacing w:line="240" w:lineRule="auto"/>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5D990FA4"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53F9E24A"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346B1750"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0B6A1728"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(0.3903)</w:t>
            </w:r>
          </w:p>
        </w:tc>
        <w:tc>
          <w:tcPr>
            <w:tcW w:w="1300" w:type="dxa"/>
            <w:tcBorders>
              <w:top w:val="nil"/>
              <w:left w:val="nil"/>
              <w:bottom w:val="nil"/>
              <w:right w:val="nil"/>
            </w:tcBorders>
            <w:shd w:val="clear" w:color="auto" w:fill="auto"/>
            <w:vAlign w:val="center"/>
            <w:hideMark/>
          </w:tcPr>
          <w:p w14:paraId="00070AC3"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p>
        </w:tc>
      </w:tr>
      <w:tr w:rsidR="000E3A94" w:rsidRPr="000E22B3" w14:paraId="70DD8480" w14:textId="77777777" w:rsidTr="00AD715B">
        <w:trPr>
          <w:trHeight w:val="680"/>
        </w:trPr>
        <w:tc>
          <w:tcPr>
            <w:tcW w:w="2520" w:type="dxa"/>
            <w:tcBorders>
              <w:top w:val="nil"/>
              <w:left w:val="nil"/>
              <w:bottom w:val="nil"/>
              <w:right w:val="nil"/>
            </w:tcBorders>
            <w:shd w:val="clear" w:color="auto" w:fill="auto"/>
            <w:vAlign w:val="center"/>
            <w:hideMark/>
          </w:tcPr>
          <w:p w14:paraId="6235D4B9" w14:textId="77777777" w:rsidR="000E3A94" w:rsidRPr="000E22B3" w:rsidRDefault="000E3A94" w:rsidP="00AD715B">
            <w:pPr>
              <w:suppressAutoHyphens w:val="0"/>
              <w:spacing w:line="240" w:lineRule="auto"/>
              <w:rPr>
                <w:rFonts w:eastAsia="Times New Roman"/>
                <w:i/>
                <w:iCs/>
                <w:color w:val="000000"/>
                <w:lang w:val="en-KR" w:eastAsia="ko-KR"/>
              </w:rPr>
            </w:pPr>
            <w:proofErr w:type="spellStart"/>
            <w:r w:rsidRPr="000E22B3">
              <w:rPr>
                <w:rFonts w:eastAsia="Times New Roman"/>
                <w:i/>
                <w:iCs/>
                <w:color w:val="000000"/>
                <w:lang w:val="en-GB" w:eastAsia="ko-KR"/>
              </w:rPr>
              <w:t>FinBackM</w:t>
            </w:r>
            <w:proofErr w:type="spellEnd"/>
            <w:r w:rsidRPr="000E22B3">
              <w:rPr>
                <w:rFonts w:eastAsia="Times New Roman"/>
                <w:i/>
                <w:iCs/>
                <w:color w:val="000000"/>
                <w:lang w:val="en-GB" w:eastAsia="ko-KR"/>
              </w:rPr>
              <w:t xml:space="preserve"> </w:t>
            </w:r>
            <w:r w:rsidRPr="000E22B3">
              <w:rPr>
                <w:rFonts w:ascii="Symbol" w:eastAsia="Times New Roman" w:hAnsi="Symbol"/>
                <w:i/>
                <w:iCs/>
                <w:color w:val="000000"/>
                <w:lang w:val="en-GB" w:eastAsia="ko-KR"/>
              </w:rPr>
              <w:t>´</w:t>
            </w:r>
            <w:r w:rsidRPr="000E22B3">
              <w:rPr>
                <w:rFonts w:eastAsia="Times New Roman"/>
                <w:i/>
                <w:iCs/>
                <w:color w:val="000000"/>
                <w:lang w:val="en-GB" w:eastAsia="ko-KR"/>
              </w:rPr>
              <w:t xml:space="preserve"> Total</w:t>
            </w:r>
          </w:p>
        </w:tc>
        <w:tc>
          <w:tcPr>
            <w:tcW w:w="1300" w:type="dxa"/>
            <w:tcBorders>
              <w:top w:val="nil"/>
              <w:left w:val="nil"/>
              <w:bottom w:val="nil"/>
              <w:right w:val="nil"/>
            </w:tcBorders>
            <w:shd w:val="clear" w:color="auto" w:fill="auto"/>
            <w:vAlign w:val="center"/>
            <w:hideMark/>
          </w:tcPr>
          <w:p w14:paraId="462EB431" w14:textId="77777777" w:rsidR="000E3A94" w:rsidRPr="000E22B3" w:rsidRDefault="000E3A94" w:rsidP="00AD715B">
            <w:pPr>
              <w:suppressAutoHyphens w:val="0"/>
              <w:spacing w:line="240" w:lineRule="auto"/>
              <w:rPr>
                <w:rFonts w:eastAsia="Times New Roman"/>
                <w:i/>
                <w:iCs/>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08C3A6BA"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54DFE8C3"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2CF16DB6"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450AB609"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-2.2644***</w:t>
            </w:r>
          </w:p>
        </w:tc>
        <w:tc>
          <w:tcPr>
            <w:tcW w:w="1300" w:type="dxa"/>
            <w:tcBorders>
              <w:top w:val="nil"/>
              <w:left w:val="nil"/>
              <w:bottom w:val="nil"/>
              <w:right w:val="nil"/>
            </w:tcBorders>
            <w:shd w:val="clear" w:color="auto" w:fill="auto"/>
            <w:vAlign w:val="center"/>
            <w:hideMark/>
          </w:tcPr>
          <w:p w14:paraId="46F645B8"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p>
        </w:tc>
      </w:tr>
      <w:tr w:rsidR="000E3A94" w:rsidRPr="000E22B3" w14:paraId="1ABA2A26" w14:textId="77777777" w:rsidTr="00AD715B">
        <w:trPr>
          <w:trHeight w:val="320"/>
        </w:trPr>
        <w:tc>
          <w:tcPr>
            <w:tcW w:w="2520" w:type="dxa"/>
            <w:tcBorders>
              <w:top w:val="nil"/>
              <w:left w:val="nil"/>
              <w:bottom w:val="nil"/>
              <w:right w:val="nil"/>
            </w:tcBorders>
            <w:shd w:val="clear" w:color="auto" w:fill="auto"/>
            <w:vAlign w:val="center"/>
            <w:hideMark/>
          </w:tcPr>
          <w:p w14:paraId="7D310879" w14:textId="77777777" w:rsidR="000E3A94" w:rsidRPr="000E22B3"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5D1F1266" w14:textId="77777777" w:rsidR="000E3A94" w:rsidRPr="000E22B3" w:rsidRDefault="000E3A94" w:rsidP="00AD715B">
            <w:pPr>
              <w:suppressAutoHyphens w:val="0"/>
              <w:spacing w:line="240" w:lineRule="auto"/>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0C11CA6B"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218F2BE9"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0C945699"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31CAF3F7"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(0.2274)</w:t>
            </w:r>
          </w:p>
        </w:tc>
        <w:tc>
          <w:tcPr>
            <w:tcW w:w="1300" w:type="dxa"/>
            <w:tcBorders>
              <w:top w:val="nil"/>
              <w:left w:val="nil"/>
              <w:bottom w:val="nil"/>
              <w:right w:val="nil"/>
            </w:tcBorders>
            <w:shd w:val="clear" w:color="auto" w:fill="auto"/>
            <w:vAlign w:val="center"/>
            <w:hideMark/>
          </w:tcPr>
          <w:p w14:paraId="51FE100A"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p>
        </w:tc>
      </w:tr>
      <w:tr w:rsidR="000E3A94" w:rsidRPr="000E22B3" w14:paraId="4412DD12" w14:textId="77777777" w:rsidTr="00AD715B">
        <w:trPr>
          <w:trHeight w:val="340"/>
        </w:trPr>
        <w:tc>
          <w:tcPr>
            <w:tcW w:w="2520" w:type="dxa"/>
            <w:tcBorders>
              <w:top w:val="nil"/>
              <w:left w:val="nil"/>
              <w:bottom w:val="nil"/>
              <w:right w:val="nil"/>
            </w:tcBorders>
            <w:shd w:val="clear" w:color="auto" w:fill="auto"/>
            <w:vAlign w:val="center"/>
            <w:hideMark/>
          </w:tcPr>
          <w:p w14:paraId="72EFB776" w14:textId="77777777" w:rsidR="000E3A94" w:rsidRPr="000E22B3" w:rsidRDefault="000E3A94" w:rsidP="00AD715B">
            <w:pPr>
              <w:suppressAutoHyphens w:val="0"/>
              <w:spacing w:line="240" w:lineRule="auto"/>
              <w:rPr>
                <w:rFonts w:eastAsia="Times New Roman"/>
                <w:i/>
                <w:iCs/>
                <w:color w:val="000000"/>
                <w:lang w:val="en-KR" w:eastAsia="ko-KR"/>
              </w:rPr>
            </w:pPr>
            <w:proofErr w:type="spellStart"/>
            <w:r w:rsidRPr="000E22B3">
              <w:rPr>
                <w:rFonts w:eastAsia="Times New Roman"/>
                <w:i/>
                <w:iCs/>
                <w:color w:val="000000"/>
                <w:lang w:val="en-GB" w:eastAsia="ko-KR"/>
              </w:rPr>
              <w:t>AcademicM</w:t>
            </w:r>
            <w:proofErr w:type="spellEnd"/>
          </w:p>
        </w:tc>
        <w:tc>
          <w:tcPr>
            <w:tcW w:w="1300" w:type="dxa"/>
            <w:tcBorders>
              <w:top w:val="nil"/>
              <w:left w:val="nil"/>
              <w:bottom w:val="nil"/>
              <w:right w:val="nil"/>
            </w:tcBorders>
            <w:shd w:val="clear" w:color="auto" w:fill="auto"/>
            <w:vAlign w:val="center"/>
            <w:hideMark/>
          </w:tcPr>
          <w:p w14:paraId="715E2AE4" w14:textId="77777777" w:rsidR="000E3A94" w:rsidRPr="000E22B3" w:rsidRDefault="000E3A94" w:rsidP="00AD715B">
            <w:pPr>
              <w:suppressAutoHyphens w:val="0"/>
              <w:spacing w:line="240" w:lineRule="auto"/>
              <w:rPr>
                <w:rFonts w:eastAsia="Times New Roman"/>
                <w:i/>
                <w:iCs/>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44A064CA"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58476BE1"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4702700D"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43919058"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425B4FD8"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3.9561***</w:t>
            </w:r>
          </w:p>
        </w:tc>
      </w:tr>
      <w:tr w:rsidR="000E3A94" w:rsidRPr="000E22B3" w14:paraId="738409C4" w14:textId="77777777" w:rsidTr="00AD715B">
        <w:trPr>
          <w:trHeight w:val="320"/>
        </w:trPr>
        <w:tc>
          <w:tcPr>
            <w:tcW w:w="2520" w:type="dxa"/>
            <w:tcBorders>
              <w:top w:val="nil"/>
              <w:left w:val="nil"/>
              <w:bottom w:val="nil"/>
              <w:right w:val="nil"/>
            </w:tcBorders>
            <w:shd w:val="clear" w:color="auto" w:fill="auto"/>
            <w:vAlign w:val="center"/>
            <w:hideMark/>
          </w:tcPr>
          <w:p w14:paraId="22B7DFF2" w14:textId="77777777" w:rsidR="000E3A94" w:rsidRPr="000E22B3" w:rsidRDefault="000E3A94" w:rsidP="00AD715B">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031709AE" w14:textId="77777777" w:rsidR="000E3A94" w:rsidRPr="000E22B3" w:rsidRDefault="000E3A94" w:rsidP="00AD715B">
            <w:pPr>
              <w:suppressAutoHyphens w:val="0"/>
              <w:spacing w:line="240" w:lineRule="auto"/>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25DB059F"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5E735B16"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0A7A3FED"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0EF30DEA"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1D6980EF"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(0.3586)</w:t>
            </w:r>
          </w:p>
        </w:tc>
      </w:tr>
      <w:tr w:rsidR="000E3A94" w:rsidRPr="000E22B3" w14:paraId="3709B83F" w14:textId="77777777" w:rsidTr="00AD715B">
        <w:trPr>
          <w:trHeight w:val="276"/>
        </w:trPr>
        <w:tc>
          <w:tcPr>
            <w:tcW w:w="2520" w:type="dxa"/>
            <w:tcBorders>
              <w:top w:val="nil"/>
              <w:left w:val="nil"/>
              <w:bottom w:val="nil"/>
              <w:right w:val="nil"/>
            </w:tcBorders>
            <w:shd w:val="clear" w:color="auto" w:fill="auto"/>
            <w:vAlign w:val="center"/>
            <w:hideMark/>
          </w:tcPr>
          <w:p w14:paraId="2B77A635" w14:textId="77777777" w:rsidR="000E3A94" w:rsidRPr="000E22B3" w:rsidRDefault="000E3A94" w:rsidP="00AD715B">
            <w:pPr>
              <w:suppressAutoHyphens w:val="0"/>
              <w:spacing w:line="240" w:lineRule="auto"/>
              <w:rPr>
                <w:rFonts w:eastAsia="Times New Roman"/>
                <w:i/>
                <w:iCs/>
                <w:color w:val="000000"/>
                <w:lang w:val="en-KR" w:eastAsia="ko-KR"/>
              </w:rPr>
            </w:pPr>
            <w:proofErr w:type="spellStart"/>
            <w:r w:rsidRPr="000E22B3">
              <w:rPr>
                <w:rFonts w:eastAsia="Times New Roman"/>
                <w:i/>
                <w:iCs/>
                <w:color w:val="000000"/>
                <w:lang w:val="en-GB" w:eastAsia="ko-KR"/>
              </w:rPr>
              <w:t>AcademicM</w:t>
            </w:r>
            <w:proofErr w:type="spellEnd"/>
            <w:r w:rsidRPr="000E22B3">
              <w:rPr>
                <w:rFonts w:eastAsia="Times New Roman"/>
                <w:i/>
                <w:iCs/>
                <w:color w:val="000000"/>
                <w:lang w:val="en-GB" w:eastAsia="ko-KR"/>
              </w:rPr>
              <w:t xml:space="preserve"> </w:t>
            </w:r>
            <w:r w:rsidRPr="000E22B3">
              <w:rPr>
                <w:rFonts w:ascii="Symbol" w:eastAsia="Times New Roman" w:hAnsi="Symbol"/>
                <w:i/>
                <w:iCs/>
                <w:color w:val="000000"/>
                <w:lang w:val="en-GB" w:eastAsia="ko-KR"/>
              </w:rPr>
              <w:t>´</w:t>
            </w:r>
            <w:r w:rsidRPr="000E22B3">
              <w:rPr>
                <w:rFonts w:eastAsia="Times New Roman"/>
                <w:i/>
                <w:iCs/>
                <w:color w:val="000000"/>
                <w:lang w:val="en-GB" w:eastAsia="ko-KR"/>
              </w:rPr>
              <w:t xml:space="preserve"> Total</w:t>
            </w:r>
          </w:p>
        </w:tc>
        <w:tc>
          <w:tcPr>
            <w:tcW w:w="1300" w:type="dxa"/>
            <w:tcBorders>
              <w:top w:val="nil"/>
              <w:left w:val="nil"/>
              <w:bottom w:val="nil"/>
              <w:right w:val="nil"/>
            </w:tcBorders>
            <w:shd w:val="clear" w:color="auto" w:fill="auto"/>
            <w:vAlign w:val="center"/>
            <w:hideMark/>
          </w:tcPr>
          <w:p w14:paraId="282FF86D" w14:textId="77777777" w:rsidR="000E3A94" w:rsidRPr="000E22B3" w:rsidRDefault="000E3A94" w:rsidP="00AD715B">
            <w:pPr>
              <w:suppressAutoHyphens w:val="0"/>
              <w:spacing w:line="240" w:lineRule="auto"/>
              <w:rPr>
                <w:rFonts w:eastAsia="Times New Roman"/>
                <w:i/>
                <w:iCs/>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535A37C7"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471AA063"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6387E0A9"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6EC2A668"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3C76DD04"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0.8179***</w:t>
            </w:r>
          </w:p>
        </w:tc>
      </w:tr>
      <w:tr w:rsidR="000E3A94" w:rsidRPr="000E22B3" w14:paraId="2983FE83" w14:textId="77777777" w:rsidTr="00AD715B">
        <w:trPr>
          <w:trHeight w:val="320"/>
        </w:trPr>
        <w:tc>
          <w:tcPr>
            <w:tcW w:w="2520" w:type="dxa"/>
            <w:tcBorders>
              <w:top w:val="nil"/>
              <w:left w:val="nil"/>
              <w:bottom w:val="nil"/>
              <w:right w:val="nil"/>
            </w:tcBorders>
            <w:shd w:val="clear" w:color="auto" w:fill="auto"/>
            <w:vAlign w:val="center"/>
            <w:hideMark/>
          </w:tcPr>
          <w:p w14:paraId="0AEE21E8" w14:textId="77777777" w:rsidR="000E3A94" w:rsidRPr="000E22B3" w:rsidRDefault="000E3A94" w:rsidP="00AD715B">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6C976CAA" w14:textId="77777777" w:rsidR="000E3A94" w:rsidRPr="000E22B3" w:rsidRDefault="000E3A94" w:rsidP="00AD715B">
            <w:pPr>
              <w:suppressAutoHyphens w:val="0"/>
              <w:spacing w:line="240" w:lineRule="auto"/>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0830961F"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4AFBC701"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380E3D7E"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1559D33B" w14:textId="77777777" w:rsidR="000E3A94" w:rsidRPr="000E22B3" w:rsidRDefault="000E3A94" w:rsidP="00AD715B">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32094AB6"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(0.2349)</w:t>
            </w:r>
          </w:p>
        </w:tc>
      </w:tr>
      <w:tr w:rsidR="000E3A94" w:rsidRPr="000E22B3" w14:paraId="64326CCE" w14:textId="77777777" w:rsidTr="00AD715B">
        <w:trPr>
          <w:trHeight w:val="340"/>
        </w:trPr>
        <w:tc>
          <w:tcPr>
            <w:tcW w:w="2520" w:type="dxa"/>
            <w:tcBorders>
              <w:top w:val="nil"/>
              <w:left w:val="nil"/>
              <w:bottom w:val="nil"/>
              <w:right w:val="nil"/>
            </w:tcBorders>
            <w:shd w:val="clear" w:color="auto" w:fill="auto"/>
            <w:vAlign w:val="center"/>
            <w:hideMark/>
          </w:tcPr>
          <w:p w14:paraId="47C7ABA0" w14:textId="77777777" w:rsidR="000E3A94" w:rsidRPr="000E22B3" w:rsidRDefault="000E3A94" w:rsidP="00AD715B">
            <w:pPr>
              <w:suppressAutoHyphens w:val="0"/>
              <w:spacing w:line="240" w:lineRule="auto"/>
              <w:rPr>
                <w:rFonts w:eastAsia="Times New Roman"/>
                <w:i/>
                <w:iCs/>
                <w:color w:val="000000"/>
                <w:lang w:val="en-KR" w:eastAsia="ko-KR"/>
              </w:rPr>
            </w:pPr>
            <w:r w:rsidRPr="000E22B3">
              <w:rPr>
                <w:rFonts w:eastAsia="Times New Roman"/>
                <w:i/>
                <w:iCs/>
                <w:color w:val="000000"/>
                <w:lang w:val="en-GB" w:eastAsia="ko-KR"/>
              </w:rPr>
              <w:t>Constant</w:t>
            </w:r>
          </w:p>
        </w:tc>
        <w:tc>
          <w:tcPr>
            <w:tcW w:w="1300" w:type="dxa"/>
            <w:tcBorders>
              <w:top w:val="nil"/>
              <w:left w:val="nil"/>
              <w:bottom w:val="nil"/>
              <w:right w:val="nil"/>
            </w:tcBorders>
            <w:shd w:val="clear" w:color="auto" w:fill="auto"/>
            <w:vAlign w:val="center"/>
            <w:hideMark/>
          </w:tcPr>
          <w:p w14:paraId="520FF044"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4.8288***</w:t>
            </w:r>
          </w:p>
        </w:tc>
        <w:tc>
          <w:tcPr>
            <w:tcW w:w="1300" w:type="dxa"/>
            <w:tcBorders>
              <w:top w:val="nil"/>
              <w:left w:val="nil"/>
              <w:bottom w:val="nil"/>
              <w:right w:val="nil"/>
            </w:tcBorders>
            <w:shd w:val="clear" w:color="auto" w:fill="auto"/>
            <w:vAlign w:val="center"/>
            <w:hideMark/>
          </w:tcPr>
          <w:p w14:paraId="4881440F"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4.9184***</w:t>
            </w:r>
          </w:p>
        </w:tc>
        <w:tc>
          <w:tcPr>
            <w:tcW w:w="1300" w:type="dxa"/>
            <w:tcBorders>
              <w:top w:val="nil"/>
              <w:left w:val="nil"/>
              <w:bottom w:val="nil"/>
              <w:right w:val="nil"/>
            </w:tcBorders>
            <w:shd w:val="clear" w:color="auto" w:fill="auto"/>
            <w:vAlign w:val="center"/>
            <w:hideMark/>
          </w:tcPr>
          <w:p w14:paraId="221CC7BF"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4.0121***</w:t>
            </w:r>
          </w:p>
        </w:tc>
        <w:tc>
          <w:tcPr>
            <w:tcW w:w="1300" w:type="dxa"/>
            <w:tcBorders>
              <w:top w:val="nil"/>
              <w:left w:val="nil"/>
              <w:bottom w:val="nil"/>
              <w:right w:val="nil"/>
            </w:tcBorders>
            <w:shd w:val="clear" w:color="auto" w:fill="auto"/>
            <w:vAlign w:val="center"/>
            <w:hideMark/>
          </w:tcPr>
          <w:p w14:paraId="4527AB20"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5.0943***</w:t>
            </w:r>
          </w:p>
        </w:tc>
        <w:tc>
          <w:tcPr>
            <w:tcW w:w="1300" w:type="dxa"/>
            <w:tcBorders>
              <w:top w:val="nil"/>
              <w:left w:val="nil"/>
              <w:bottom w:val="nil"/>
              <w:right w:val="nil"/>
            </w:tcBorders>
            <w:shd w:val="clear" w:color="auto" w:fill="auto"/>
            <w:vAlign w:val="center"/>
            <w:hideMark/>
          </w:tcPr>
          <w:p w14:paraId="1DDCC212"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4.7362***</w:t>
            </w:r>
          </w:p>
        </w:tc>
        <w:tc>
          <w:tcPr>
            <w:tcW w:w="1300" w:type="dxa"/>
            <w:tcBorders>
              <w:top w:val="nil"/>
              <w:left w:val="nil"/>
              <w:bottom w:val="nil"/>
              <w:right w:val="nil"/>
            </w:tcBorders>
            <w:shd w:val="clear" w:color="auto" w:fill="auto"/>
            <w:vAlign w:val="center"/>
            <w:hideMark/>
          </w:tcPr>
          <w:p w14:paraId="390DDF0B"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4.3449***</w:t>
            </w:r>
          </w:p>
        </w:tc>
      </w:tr>
      <w:tr w:rsidR="000E3A94" w:rsidRPr="000E22B3" w14:paraId="4AF0CEB9" w14:textId="77777777" w:rsidTr="00AD715B">
        <w:trPr>
          <w:trHeight w:val="320"/>
        </w:trPr>
        <w:tc>
          <w:tcPr>
            <w:tcW w:w="2520" w:type="dxa"/>
            <w:tcBorders>
              <w:top w:val="nil"/>
              <w:left w:val="nil"/>
              <w:bottom w:val="nil"/>
              <w:right w:val="nil"/>
            </w:tcBorders>
            <w:shd w:val="clear" w:color="auto" w:fill="auto"/>
            <w:vAlign w:val="center"/>
            <w:hideMark/>
          </w:tcPr>
          <w:p w14:paraId="7D85036F" w14:textId="77777777" w:rsidR="000E3A94" w:rsidRPr="000E22B3" w:rsidRDefault="000E3A94" w:rsidP="00AD715B">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72E1A90A"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(0.1167)</w:t>
            </w:r>
          </w:p>
        </w:tc>
        <w:tc>
          <w:tcPr>
            <w:tcW w:w="1300" w:type="dxa"/>
            <w:tcBorders>
              <w:top w:val="nil"/>
              <w:left w:val="nil"/>
              <w:bottom w:val="nil"/>
              <w:right w:val="nil"/>
            </w:tcBorders>
            <w:shd w:val="clear" w:color="auto" w:fill="auto"/>
            <w:vAlign w:val="center"/>
            <w:hideMark/>
          </w:tcPr>
          <w:p w14:paraId="561EDE3E"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(0.1183)</w:t>
            </w:r>
          </w:p>
        </w:tc>
        <w:tc>
          <w:tcPr>
            <w:tcW w:w="1300" w:type="dxa"/>
            <w:tcBorders>
              <w:top w:val="nil"/>
              <w:left w:val="nil"/>
              <w:bottom w:val="nil"/>
              <w:right w:val="nil"/>
            </w:tcBorders>
            <w:shd w:val="clear" w:color="auto" w:fill="auto"/>
            <w:vAlign w:val="center"/>
            <w:hideMark/>
          </w:tcPr>
          <w:p w14:paraId="7940C2DE"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(0.1320)</w:t>
            </w:r>
          </w:p>
        </w:tc>
        <w:tc>
          <w:tcPr>
            <w:tcW w:w="1300" w:type="dxa"/>
            <w:tcBorders>
              <w:top w:val="nil"/>
              <w:left w:val="nil"/>
              <w:bottom w:val="nil"/>
              <w:right w:val="nil"/>
            </w:tcBorders>
            <w:shd w:val="clear" w:color="auto" w:fill="auto"/>
            <w:vAlign w:val="center"/>
            <w:hideMark/>
          </w:tcPr>
          <w:p w14:paraId="4480B064"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(0.1316)</w:t>
            </w:r>
          </w:p>
        </w:tc>
        <w:tc>
          <w:tcPr>
            <w:tcW w:w="1300" w:type="dxa"/>
            <w:tcBorders>
              <w:top w:val="nil"/>
              <w:left w:val="nil"/>
              <w:bottom w:val="nil"/>
              <w:right w:val="nil"/>
            </w:tcBorders>
            <w:shd w:val="clear" w:color="auto" w:fill="auto"/>
            <w:vAlign w:val="center"/>
            <w:hideMark/>
          </w:tcPr>
          <w:p w14:paraId="17FBBBD4"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(0.1207)</w:t>
            </w:r>
          </w:p>
        </w:tc>
        <w:tc>
          <w:tcPr>
            <w:tcW w:w="1300" w:type="dxa"/>
            <w:tcBorders>
              <w:top w:val="nil"/>
              <w:left w:val="nil"/>
              <w:bottom w:val="nil"/>
              <w:right w:val="nil"/>
            </w:tcBorders>
            <w:shd w:val="clear" w:color="auto" w:fill="auto"/>
            <w:vAlign w:val="center"/>
            <w:hideMark/>
          </w:tcPr>
          <w:p w14:paraId="2F618324"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(0.1241)</w:t>
            </w:r>
          </w:p>
        </w:tc>
      </w:tr>
      <w:tr w:rsidR="000E3A94" w:rsidRPr="000E22B3" w14:paraId="74DC689F" w14:textId="77777777" w:rsidTr="00AD715B">
        <w:trPr>
          <w:trHeight w:val="320"/>
        </w:trPr>
        <w:tc>
          <w:tcPr>
            <w:tcW w:w="2520" w:type="dxa"/>
            <w:tcBorders>
              <w:top w:val="nil"/>
              <w:left w:val="nil"/>
              <w:bottom w:val="nil"/>
              <w:right w:val="nil"/>
            </w:tcBorders>
            <w:shd w:val="clear" w:color="auto" w:fill="auto"/>
            <w:vAlign w:val="center"/>
          </w:tcPr>
          <w:p w14:paraId="13377676" w14:textId="77777777" w:rsidR="000E3A94" w:rsidRPr="000E22B3" w:rsidRDefault="000E3A94" w:rsidP="00AD715B">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tcPr>
          <w:p w14:paraId="51C84BE2" w14:textId="77777777" w:rsidR="000E3A94" w:rsidRPr="00F63916" w:rsidRDefault="000E3A94" w:rsidP="00AD715B">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tcPr>
          <w:p w14:paraId="0C13EDBA" w14:textId="77777777" w:rsidR="000E3A94" w:rsidRPr="00F63916" w:rsidRDefault="000E3A94" w:rsidP="00AD715B">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tcPr>
          <w:p w14:paraId="7393BD20" w14:textId="77777777" w:rsidR="000E3A94" w:rsidRPr="00F63916" w:rsidRDefault="000E3A94" w:rsidP="00AD715B">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tcPr>
          <w:p w14:paraId="05CB7C8C" w14:textId="77777777" w:rsidR="000E3A94" w:rsidRPr="00F63916" w:rsidRDefault="000E3A94" w:rsidP="00AD715B">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tcPr>
          <w:p w14:paraId="6A75CD5D" w14:textId="77777777" w:rsidR="000E3A94" w:rsidRPr="00F63916" w:rsidRDefault="000E3A94" w:rsidP="00AD715B">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tcPr>
          <w:p w14:paraId="44546611" w14:textId="77777777" w:rsidR="000E3A94" w:rsidRPr="00F63916" w:rsidRDefault="000E3A94" w:rsidP="00AD715B">
            <w:pPr>
              <w:suppressAutoHyphens w:val="0"/>
              <w:spacing w:line="240" w:lineRule="auto"/>
              <w:jc w:val="center"/>
              <w:rPr>
                <w:rFonts w:eastAsia="Times New Roman"/>
                <w:color w:val="000000"/>
                <w:sz w:val="22"/>
                <w:szCs w:val="22"/>
                <w:lang w:val="en-KR" w:eastAsia="ko-KR"/>
              </w:rPr>
            </w:pPr>
          </w:p>
        </w:tc>
      </w:tr>
      <w:tr w:rsidR="000E3A94" w:rsidRPr="000E22B3" w14:paraId="3D52D7EB" w14:textId="77777777" w:rsidTr="00AD715B">
        <w:trPr>
          <w:trHeight w:val="340"/>
        </w:trPr>
        <w:tc>
          <w:tcPr>
            <w:tcW w:w="2520" w:type="dxa"/>
            <w:tcBorders>
              <w:top w:val="nil"/>
              <w:left w:val="nil"/>
              <w:bottom w:val="nil"/>
              <w:right w:val="nil"/>
            </w:tcBorders>
            <w:shd w:val="clear" w:color="auto" w:fill="auto"/>
            <w:vAlign w:val="center"/>
            <w:hideMark/>
          </w:tcPr>
          <w:p w14:paraId="46A6A2C8" w14:textId="77777777" w:rsidR="000E3A94" w:rsidRPr="000E22B3" w:rsidRDefault="000E3A94" w:rsidP="00AD715B">
            <w:pPr>
              <w:suppressAutoHyphens w:val="0"/>
              <w:spacing w:line="240" w:lineRule="auto"/>
              <w:rPr>
                <w:rFonts w:eastAsia="Times New Roman"/>
                <w:i/>
                <w:iCs/>
                <w:color w:val="000000"/>
                <w:lang w:val="en-KR" w:eastAsia="ko-KR"/>
              </w:rPr>
            </w:pPr>
            <w:r w:rsidRPr="000E22B3">
              <w:rPr>
                <w:rFonts w:eastAsia="Times New Roman"/>
                <w:i/>
                <w:iCs/>
                <w:color w:val="000000"/>
                <w:lang w:val="en-GB" w:eastAsia="ko-KR"/>
              </w:rPr>
              <w:t>Year</w:t>
            </w:r>
          </w:p>
        </w:tc>
        <w:tc>
          <w:tcPr>
            <w:tcW w:w="1300" w:type="dxa"/>
            <w:tcBorders>
              <w:top w:val="nil"/>
              <w:left w:val="nil"/>
              <w:bottom w:val="nil"/>
              <w:right w:val="nil"/>
            </w:tcBorders>
            <w:shd w:val="clear" w:color="auto" w:fill="auto"/>
            <w:vAlign w:val="center"/>
            <w:hideMark/>
          </w:tcPr>
          <w:p w14:paraId="01BFB8A3"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331B00DC"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2DFCC1E1"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54A6A9EE"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18D1FD75"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4AF53DDB"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r>
      <w:tr w:rsidR="000E3A94" w:rsidRPr="000E22B3" w14:paraId="0CDC9913" w14:textId="77777777" w:rsidTr="00AD715B">
        <w:trPr>
          <w:trHeight w:val="340"/>
        </w:trPr>
        <w:tc>
          <w:tcPr>
            <w:tcW w:w="2520" w:type="dxa"/>
            <w:tcBorders>
              <w:top w:val="nil"/>
              <w:left w:val="nil"/>
              <w:bottom w:val="nil"/>
              <w:right w:val="nil"/>
            </w:tcBorders>
            <w:shd w:val="clear" w:color="auto" w:fill="auto"/>
            <w:vAlign w:val="center"/>
            <w:hideMark/>
          </w:tcPr>
          <w:p w14:paraId="2E3238A6" w14:textId="77777777" w:rsidR="000E3A94" w:rsidRPr="000E22B3" w:rsidRDefault="000E3A94" w:rsidP="00AD715B">
            <w:pPr>
              <w:suppressAutoHyphens w:val="0"/>
              <w:spacing w:line="240" w:lineRule="auto"/>
              <w:rPr>
                <w:rFonts w:eastAsia="Times New Roman"/>
                <w:i/>
                <w:iCs/>
                <w:color w:val="000000"/>
                <w:lang w:val="en-KR" w:eastAsia="ko-KR"/>
              </w:rPr>
            </w:pPr>
            <w:r w:rsidRPr="000E22B3">
              <w:rPr>
                <w:rFonts w:eastAsia="Times New Roman"/>
                <w:i/>
                <w:iCs/>
                <w:color w:val="000000"/>
                <w:lang w:val="en-GB" w:eastAsia="ko-KR"/>
              </w:rPr>
              <w:t>Industry</w:t>
            </w:r>
          </w:p>
        </w:tc>
        <w:tc>
          <w:tcPr>
            <w:tcW w:w="1300" w:type="dxa"/>
            <w:tcBorders>
              <w:top w:val="nil"/>
              <w:left w:val="nil"/>
              <w:bottom w:val="nil"/>
              <w:right w:val="nil"/>
            </w:tcBorders>
            <w:shd w:val="clear" w:color="auto" w:fill="auto"/>
            <w:vAlign w:val="center"/>
            <w:hideMark/>
          </w:tcPr>
          <w:p w14:paraId="57B40FD2"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31CFCB20"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0BB04A51"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051FC80A"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2F49ED78"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4227D329"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r>
      <w:tr w:rsidR="000E3A94" w:rsidRPr="000E22B3" w14:paraId="7DADEBD2" w14:textId="77777777" w:rsidTr="00AD715B">
        <w:trPr>
          <w:trHeight w:val="340"/>
        </w:trPr>
        <w:tc>
          <w:tcPr>
            <w:tcW w:w="2520" w:type="dxa"/>
            <w:tcBorders>
              <w:top w:val="nil"/>
              <w:left w:val="nil"/>
              <w:bottom w:val="nil"/>
              <w:right w:val="nil"/>
            </w:tcBorders>
            <w:shd w:val="clear" w:color="auto" w:fill="auto"/>
            <w:vAlign w:val="center"/>
            <w:hideMark/>
          </w:tcPr>
          <w:p w14:paraId="05E924D4" w14:textId="77777777" w:rsidR="000E3A94" w:rsidRPr="000E22B3" w:rsidRDefault="000E3A94" w:rsidP="00AD715B">
            <w:pPr>
              <w:suppressAutoHyphens w:val="0"/>
              <w:spacing w:line="240" w:lineRule="auto"/>
              <w:rPr>
                <w:rFonts w:eastAsia="Times New Roman"/>
                <w:i/>
                <w:iCs/>
                <w:color w:val="000000"/>
                <w:lang w:val="en-KR" w:eastAsia="ko-KR"/>
              </w:rPr>
            </w:pPr>
            <w:r w:rsidRPr="000E22B3">
              <w:rPr>
                <w:rFonts w:eastAsia="Times New Roman"/>
                <w:i/>
                <w:iCs/>
                <w:color w:val="000000"/>
                <w:lang w:val="en-GB" w:eastAsia="ko-KR"/>
              </w:rPr>
              <w:t xml:space="preserve">Year </w:t>
            </w:r>
            <w:r w:rsidRPr="000E22B3">
              <w:rPr>
                <w:rFonts w:ascii="Symbol" w:eastAsia="Times New Roman" w:hAnsi="Symbol"/>
                <w:i/>
                <w:iCs/>
                <w:color w:val="000000"/>
                <w:lang w:val="en-GB" w:eastAsia="ko-KR"/>
              </w:rPr>
              <w:t>´</w:t>
            </w:r>
            <w:r w:rsidRPr="000E22B3">
              <w:rPr>
                <w:rFonts w:eastAsia="Times New Roman"/>
                <w:i/>
                <w:iCs/>
                <w:color w:val="000000"/>
                <w:lang w:val="en-GB" w:eastAsia="ko-KR"/>
              </w:rPr>
              <w:t xml:space="preserve"> Industry</w:t>
            </w:r>
          </w:p>
        </w:tc>
        <w:tc>
          <w:tcPr>
            <w:tcW w:w="1300" w:type="dxa"/>
            <w:tcBorders>
              <w:top w:val="nil"/>
              <w:left w:val="nil"/>
              <w:bottom w:val="nil"/>
              <w:right w:val="nil"/>
            </w:tcBorders>
            <w:shd w:val="clear" w:color="auto" w:fill="auto"/>
            <w:vAlign w:val="center"/>
            <w:hideMark/>
          </w:tcPr>
          <w:p w14:paraId="5C3691F6"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348A6601"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3C7813D3"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659D48DC"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5E011D80"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6BD5A1D2"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r>
      <w:tr w:rsidR="000E3A94" w:rsidRPr="000E22B3" w14:paraId="0EA76CE8" w14:textId="77777777" w:rsidTr="00AD715B">
        <w:trPr>
          <w:trHeight w:val="340"/>
        </w:trPr>
        <w:tc>
          <w:tcPr>
            <w:tcW w:w="2520" w:type="dxa"/>
            <w:tcBorders>
              <w:top w:val="nil"/>
              <w:left w:val="nil"/>
              <w:bottom w:val="nil"/>
              <w:right w:val="nil"/>
            </w:tcBorders>
            <w:shd w:val="clear" w:color="auto" w:fill="auto"/>
            <w:vAlign w:val="center"/>
            <w:hideMark/>
          </w:tcPr>
          <w:p w14:paraId="143CE522" w14:textId="77777777" w:rsidR="000E3A94" w:rsidRPr="000E22B3" w:rsidRDefault="000E3A94" w:rsidP="00AD715B">
            <w:pPr>
              <w:suppressAutoHyphens w:val="0"/>
              <w:spacing w:line="240" w:lineRule="auto"/>
              <w:rPr>
                <w:rFonts w:eastAsia="Times New Roman"/>
                <w:color w:val="000000"/>
                <w:lang w:val="en-KR" w:eastAsia="ko-KR"/>
              </w:rPr>
            </w:pPr>
            <w:r w:rsidRPr="000E22B3">
              <w:rPr>
                <w:rFonts w:eastAsia="Times New Roman"/>
                <w:color w:val="000000"/>
                <w:lang w:val="en-GB" w:eastAsia="ko-KR"/>
              </w:rPr>
              <w:lastRenderedPageBreak/>
              <w:t>Observations</w:t>
            </w:r>
          </w:p>
        </w:tc>
        <w:tc>
          <w:tcPr>
            <w:tcW w:w="1300" w:type="dxa"/>
            <w:tcBorders>
              <w:top w:val="nil"/>
              <w:left w:val="nil"/>
              <w:bottom w:val="nil"/>
              <w:right w:val="nil"/>
            </w:tcBorders>
            <w:shd w:val="clear" w:color="auto" w:fill="auto"/>
            <w:vAlign w:val="center"/>
            <w:hideMark/>
          </w:tcPr>
          <w:p w14:paraId="7F2EF6FB"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20069</w:t>
            </w:r>
          </w:p>
        </w:tc>
        <w:tc>
          <w:tcPr>
            <w:tcW w:w="1300" w:type="dxa"/>
            <w:tcBorders>
              <w:top w:val="nil"/>
              <w:left w:val="nil"/>
              <w:bottom w:val="nil"/>
              <w:right w:val="nil"/>
            </w:tcBorders>
            <w:shd w:val="clear" w:color="auto" w:fill="auto"/>
            <w:vAlign w:val="center"/>
            <w:hideMark/>
          </w:tcPr>
          <w:p w14:paraId="47C5ECC6"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20069</w:t>
            </w:r>
          </w:p>
        </w:tc>
        <w:tc>
          <w:tcPr>
            <w:tcW w:w="1300" w:type="dxa"/>
            <w:tcBorders>
              <w:top w:val="nil"/>
              <w:left w:val="nil"/>
              <w:bottom w:val="nil"/>
              <w:right w:val="nil"/>
            </w:tcBorders>
            <w:shd w:val="clear" w:color="auto" w:fill="auto"/>
            <w:vAlign w:val="center"/>
            <w:hideMark/>
          </w:tcPr>
          <w:p w14:paraId="0F194FDC"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20069</w:t>
            </w:r>
          </w:p>
        </w:tc>
        <w:tc>
          <w:tcPr>
            <w:tcW w:w="1300" w:type="dxa"/>
            <w:tcBorders>
              <w:top w:val="nil"/>
              <w:left w:val="nil"/>
              <w:bottom w:val="nil"/>
              <w:right w:val="nil"/>
            </w:tcBorders>
            <w:shd w:val="clear" w:color="auto" w:fill="auto"/>
            <w:vAlign w:val="center"/>
            <w:hideMark/>
          </w:tcPr>
          <w:p w14:paraId="59195BEC"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20069</w:t>
            </w:r>
          </w:p>
        </w:tc>
        <w:tc>
          <w:tcPr>
            <w:tcW w:w="1300" w:type="dxa"/>
            <w:tcBorders>
              <w:top w:val="nil"/>
              <w:left w:val="nil"/>
              <w:bottom w:val="nil"/>
              <w:right w:val="nil"/>
            </w:tcBorders>
            <w:shd w:val="clear" w:color="auto" w:fill="auto"/>
            <w:vAlign w:val="center"/>
            <w:hideMark/>
          </w:tcPr>
          <w:p w14:paraId="3CE864FF"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20069</w:t>
            </w:r>
          </w:p>
        </w:tc>
        <w:tc>
          <w:tcPr>
            <w:tcW w:w="1300" w:type="dxa"/>
            <w:tcBorders>
              <w:top w:val="nil"/>
              <w:left w:val="nil"/>
              <w:bottom w:val="nil"/>
              <w:right w:val="nil"/>
            </w:tcBorders>
            <w:shd w:val="clear" w:color="auto" w:fill="auto"/>
            <w:vAlign w:val="center"/>
            <w:hideMark/>
          </w:tcPr>
          <w:p w14:paraId="3A775292"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20069</w:t>
            </w:r>
          </w:p>
        </w:tc>
      </w:tr>
      <w:tr w:rsidR="000E3A94" w:rsidRPr="000E22B3" w14:paraId="7DE93ED3" w14:textId="77777777" w:rsidTr="00AD715B">
        <w:trPr>
          <w:trHeight w:val="340"/>
        </w:trPr>
        <w:tc>
          <w:tcPr>
            <w:tcW w:w="2520" w:type="dxa"/>
            <w:tcBorders>
              <w:top w:val="nil"/>
              <w:left w:val="nil"/>
              <w:bottom w:val="nil"/>
              <w:right w:val="nil"/>
            </w:tcBorders>
            <w:shd w:val="clear" w:color="auto" w:fill="auto"/>
            <w:vAlign w:val="center"/>
            <w:hideMark/>
          </w:tcPr>
          <w:p w14:paraId="4809A6CB" w14:textId="77777777" w:rsidR="000E3A94" w:rsidRPr="000E22B3" w:rsidRDefault="000E3A94" w:rsidP="00AD715B">
            <w:pPr>
              <w:suppressAutoHyphens w:val="0"/>
              <w:spacing w:line="240" w:lineRule="auto"/>
              <w:rPr>
                <w:rFonts w:eastAsia="Times New Roman"/>
                <w:color w:val="000000"/>
                <w:lang w:val="en-KR" w:eastAsia="ko-KR"/>
              </w:rPr>
            </w:pPr>
            <w:r w:rsidRPr="000E22B3">
              <w:rPr>
                <w:rFonts w:eastAsia="Times New Roman"/>
                <w:color w:val="000000"/>
                <w:lang w:val="en-GB" w:eastAsia="ko-KR"/>
              </w:rPr>
              <w:t>R-squared</w:t>
            </w:r>
          </w:p>
        </w:tc>
        <w:tc>
          <w:tcPr>
            <w:tcW w:w="1300" w:type="dxa"/>
            <w:tcBorders>
              <w:top w:val="nil"/>
              <w:left w:val="nil"/>
              <w:bottom w:val="nil"/>
              <w:right w:val="nil"/>
            </w:tcBorders>
            <w:shd w:val="clear" w:color="auto" w:fill="auto"/>
            <w:vAlign w:val="center"/>
            <w:hideMark/>
          </w:tcPr>
          <w:p w14:paraId="3550A186"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0.327</w:t>
            </w:r>
          </w:p>
        </w:tc>
        <w:tc>
          <w:tcPr>
            <w:tcW w:w="1300" w:type="dxa"/>
            <w:tcBorders>
              <w:top w:val="nil"/>
              <w:left w:val="nil"/>
              <w:bottom w:val="nil"/>
              <w:right w:val="nil"/>
            </w:tcBorders>
            <w:shd w:val="clear" w:color="auto" w:fill="auto"/>
            <w:vAlign w:val="center"/>
            <w:hideMark/>
          </w:tcPr>
          <w:p w14:paraId="71515B1B"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0.328</w:t>
            </w:r>
          </w:p>
        </w:tc>
        <w:tc>
          <w:tcPr>
            <w:tcW w:w="1300" w:type="dxa"/>
            <w:tcBorders>
              <w:top w:val="nil"/>
              <w:left w:val="nil"/>
              <w:bottom w:val="nil"/>
              <w:right w:val="nil"/>
            </w:tcBorders>
            <w:shd w:val="clear" w:color="auto" w:fill="auto"/>
            <w:vAlign w:val="center"/>
            <w:hideMark/>
          </w:tcPr>
          <w:p w14:paraId="59211B4F"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0.342</w:t>
            </w:r>
          </w:p>
        </w:tc>
        <w:tc>
          <w:tcPr>
            <w:tcW w:w="1300" w:type="dxa"/>
            <w:tcBorders>
              <w:top w:val="nil"/>
              <w:left w:val="nil"/>
              <w:bottom w:val="nil"/>
              <w:right w:val="nil"/>
            </w:tcBorders>
            <w:shd w:val="clear" w:color="auto" w:fill="auto"/>
            <w:vAlign w:val="center"/>
            <w:hideMark/>
          </w:tcPr>
          <w:p w14:paraId="66219351"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0.329</w:t>
            </w:r>
          </w:p>
        </w:tc>
        <w:tc>
          <w:tcPr>
            <w:tcW w:w="1300" w:type="dxa"/>
            <w:tcBorders>
              <w:top w:val="nil"/>
              <w:left w:val="nil"/>
              <w:bottom w:val="nil"/>
              <w:right w:val="nil"/>
            </w:tcBorders>
            <w:shd w:val="clear" w:color="auto" w:fill="auto"/>
            <w:vAlign w:val="center"/>
            <w:hideMark/>
          </w:tcPr>
          <w:p w14:paraId="311D80AA"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0.33</w:t>
            </w:r>
          </w:p>
        </w:tc>
        <w:tc>
          <w:tcPr>
            <w:tcW w:w="1300" w:type="dxa"/>
            <w:tcBorders>
              <w:top w:val="nil"/>
              <w:left w:val="nil"/>
              <w:bottom w:val="nil"/>
              <w:right w:val="nil"/>
            </w:tcBorders>
            <w:shd w:val="clear" w:color="auto" w:fill="auto"/>
            <w:vAlign w:val="center"/>
            <w:hideMark/>
          </w:tcPr>
          <w:p w14:paraId="53DDC55C"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0.336</w:t>
            </w:r>
          </w:p>
        </w:tc>
      </w:tr>
      <w:tr w:rsidR="000E3A94" w:rsidRPr="000E22B3" w14:paraId="58BDBF1D" w14:textId="77777777" w:rsidTr="00AD715B">
        <w:trPr>
          <w:trHeight w:val="346"/>
        </w:trPr>
        <w:tc>
          <w:tcPr>
            <w:tcW w:w="2520" w:type="dxa"/>
            <w:tcBorders>
              <w:top w:val="nil"/>
              <w:left w:val="nil"/>
              <w:bottom w:val="single" w:sz="4" w:space="0" w:color="auto"/>
              <w:right w:val="nil"/>
            </w:tcBorders>
            <w:shd w:val="clear" w:color="auto" w:fill="auto"/>
            <w:vAlign w:val="center"/>
            <w:hideMark/>
          </w:tcPr>
          <w:p w14:paraId="781C0DC6" w14:textId="77777777" w:rsidR="000E3A94" w:rsidRPr="000E22B3" w:rsidRDefault="000E3A94" w:rsidP="00AD715B">
            <w:pPr>
              <w:suppressAutoHyphens w:val="0"/>
              <w:spacing w:line="240" w:lineRule="auto"/>
              <w:rPr>
                <w:rFonts w:eastAsia="Times New Roman"/>
                <w:color w:val="000000"/>
                <w:lang w:val="en-KR" w:eastAsia="ko-KR"/>
              </w:rPr>
            </w:pPr>
            <w:r w:rsidRPr="000E22B3">
              <w:rPr>
                <w:rFonts w:eastAsia="Times New Roman"/>
                <w:color w:val="000000"/>
                <w:lang w:val="en-GB" w:eastAsia="ko-KR"/>
              </w:rPr>
              <w:t>Adjusted R-squared</w:t>
            </w:r>
          </w:p>
        </w:tc>
        <w:tc>
          <w:tcPr>
            <w:tcW w:w="1300" w:type="dxa"/>
            <w:tcBorders>
              <w:top w:val="nil"/>
              <w:left w:val="nil"/>
              <w:bottom w:val="single" w:sz="4" w:space="0" w:color="auto"/>
              <w:right w:val="nil"/>
            </w:tcBorders>
            <w:shd w:val="clear" w:color="auto" w:fill="auto"/>
            <w:vAlign w:val="center"/>
            <w:hideMark/>
          </w:tcPr>
          <w:p w14:paraId="67495F23"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0.297</w:t>
            </w:r>
          </w:p>
        </w:tc>
        <w:tc>
          <w:tcPr>
            <w:tcW w:w="1300" w:type="dxa"/>
            <w:tcBorders>
              <w:top w:val="nil"/>
              <w:left w:val="nil"/>
              <w:bottom w:val="single" w:sz="4" w:space="0" w:color="auto"/>
              <w:right w:val="nil"/>
            </w:tcBorders>
            <w:shd w:val="clear" w:color="auto" w:fill="auto"/>
            <w:vAlign w:val="center"/>
            <w:hideMark/>
          </w:tcPr>
          <w:p w14:paraId="04D3A573"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0.298</w:t>
            </w:r>
          </w:p>
        </w:tc>
        <w:tc>
          <w:tcPr>
            <w:tcW w:w="1300" w:type="dxa"/>
            <w:tcBorders>
              <w:top w:val="nil"/>
              <w:left w:val="nil"/>
              <w:bottom w:val="single" w:sz="4" w:space="0" w:color="auto"/>
              <w:right w:val="nil"/>
            </w:tcBorders>
            <w:shd w:val="clear" w:color="auto" w:fill="auto"/>
            <w:vAlign w:val="center"/>
            <w:hideMark/>
          </w:tcPr>
          <w:p w14:paraId="467ED730"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0.313</w:t>
            </w:r>
          </w:p>
        </w:tc>
        <w:tc>
          <w:tcPr>
            <w:tcW w:w="1300" w:type="dxa"/>
            <w:tcBorders>
              <w:top w:val="nil"/>
              <w:left w:val="nil"/>
              <w:bottom w:val="single" w:sz="4" w:space="0" w:color="auto"/>
              <w:right w:val="nil"/>
            </w:tcBorders>
            <w:shd w:val="clear" w:color="auto" w:fill="auto"/>
            <w:vAlign w:val="center"/>
            <w:hideMark/>
          </w:tcPr>
          <w:p w14:paraId="0B121EF0"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0.299</w:t>
            </w:r>
          </w:p>
        </w:tc>
        <w:tc>
          <w:tcPr>
            <w:tcW w:w="1300" w:type="dxa"/>
            <w:tcBorders>
              <w:top w:val="nil"/>
              <w:left w:val="nil"/>
              <w:bottom w:val="single" w:sz="4" w:space="0" w:color="auto"/>
              <w:right w:val="nil"/>
            </w:tcBorders>
            <w:shd w:val="clear" w:color="auto" w:fill="auto"/>
            <w:vAlign w:val="center"/>
            <w:hideMark/>
          </w:tcPr>
          <w:p w14:paraId="51399023"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0.301</w:t>
            </w:r>
          </w:p>
        </w:tc>
        <w:tc>
          <w:tcPr>
            <w:tcW w:w="1300" w:type="dxa"/>
            <w:tcBorders>
              <w:top w:val="nil"/>
              <w:left w:val="nil"/>
              <w:bottom w:val="single" w:sz="4" w:space="0" w:color="auto"/>
              <w:right w:val="nil"/>
            </w:tcBorders>
            <w:shd w:val="clear" w:color="auto" w:fill="auto"/>
            <w:vAlign w:val="center"/>
            <w:hideMark/>
          </w:tcPr>
          <w:p w14:paraId="285B7C56" w14:textId="77777777" w:rsidR="000E3A94" w:rsidRPr="000E22B3" w:rsidRDefault="000E3A94" w:rsidP="00AD715B">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0.307</w:t>
            </w:r>
          </w:p>
        </w:tc>
      </w:tr>
    </w:tbl>
    <w:p w14:paraId="0259AD81" w14:textId="77777777" w:rsidR="000E3A94" w:rsidRPr="00172AD7" w:rsidRDefault="000E3A94" w:rsidP="000E3A94">
      <w:pPr>
        <w:rPr>
          <w:color w:val="000000" w:themeColor="text1"/>
        </w:rPr>
      </w:pPr>
      <w:r w:rsidRPr="00172AD7">
        <w:rPr>
          <w:i/>
          <w:iCs/>
          <w:color w:val="000000" w:themeColor="text1"/>
        </w:rPr>
        <w:t xml:space="preserve">Note. </w:t>
      </w:r>
      <w:r w:rsidRPr="00172AD7">
        <w:rPr>
          <w:color w:val="000000" w:themeColor="text1"/>
        </w:rPr>
        <w:t>Standard errors in parentheses</w:t>
      </w:r>
      <w:r>
        <w:rPr>
          <w:color w:val="000000" w:themeColor="text1"/>
        </w:rPr>
        <w:t xml:space="preserve">. </w:t>
      </w:r>
      <w:r>
        <w:rPr>
          <w:color w:val="000000" w:themeColor="text1"/>
        </w:rPr>
        <w:br/>
      </w:r>
      <w:r w:rsidRPr="00172AD7">
        <w:rPr>
          <w:color w:val="000000" w:themeColor="text1"/>
        </w:rPr>
        <w:t>*** p&lt;0.01, ** p&lt;0.05, * p&lt;0.1</w:t>
      </w:r>
    </w:p>
    <w:p w14:paraId="4561EBE7" w14:textId="77777777" w:rsidR="000E3A94" w:rsidRDefault="000E3A94" w:rsidP="000E3A94">
      <w:pPr>
        <w:rPr>
          <w:b/>
          <w:bCs/>
          <w:color w:val="000000" w:themeColor="text1"/>
        </w:rPr>
      </w:pPr>
    </w:p>
    <w:p w14:paraId="58A3E60B" w14:textId="77777777" w:rsidR="000E3A94" w:rsidRDefault="000E3A94" w:rsidP="000E3A94">
      <w:pPr>
        <w:rPr>
          <w:b/>
          <w:bCs/>
          <w:color w:val="000000" w:themeColor="text1"/>
        </w:rPr>
        <w:sectPr w:rsidR="000E3A94" w:rsidSect="000E3A94">
          <w:pgSz w:w="12240" w:h="15840" w:code="1"/>
          <w:pgMar w:top="1440" w:right="1440" w:bottom="1440" w:left="1440" w:header="720" w:footer="720" w:gutter="0"/>
          <w:pgNumType w:start="1"/>
          <w:cols w:space="720"/>
          <w:docGrid w:linePitch="360"/>
        </w:sectPr>
      </w:pPr>
    </w:p>
    <w:p w14:paraId="22BD1EC5" w14:textId="77777777" w:rsidR="000E3A94" w:rsidRPr="00172AD7" w:rsidRDefault="000E3A94" w:rsidP="000E3A94">
      <w:pPr>
        <w:rPr>
          <w:b/>
          <w:bCs/>
          <w:color w:val="000000" w:themeColor="text1"/>
        </w:rPr>
      </w:pPr>
      <w:r w:rsidRPr="00172AD7">
        <w:rPr>
          <w:b/>
          <w:bCs/>
          <w:color w:val="000000" w:themeColor="text1"/>
        </w:rPr>
        <w:lastRenderedPageBreak/>
        <w:t xml:space="preserve">Table </w:t>
      </w:r>
      <w:r>
        <w:rPr>
          <w:b/>
          <w:bCs/>
          <w:color w:val="000000" w:themeColor="text1"/>
        </w:rPr>
        <w:t>5</w:t>
      </w:r>
    </w:p>
    <w:p w14:paraId="4C523F30" w14:textId="77777777" w:rsidR="000E3A94" w:rsidRPr="00172AD7" w:rsidRDefault="000E3A94" w:rsidP="000E3A94">
      <w:pPr>
        <w:rPr>
          <w:i/>
          <w:iCs/>
          <w:color w:val="000000" w:themeColor="text1"/>
        </w:rPr>
      </w:pPr>
      <w:r w:rsidRPr="00172AD7">
        <w:rPr>
          <w:i/>
          <w:iCs/>
          <w:color w:val="000000" w:themeColor="text1"/>
        </w:rPr>
        <w:t>Impact of Digital Components on Workforce Education</w:t>
      </w:r>
    </w:p>
    <w:tbl>
      <w:tblPr>
        <w:tblW w:w="8680" w:type="dxa"/>
        <w:tblInd w:w="108" w:type="dxa"/>
        <w:tblLook w:val="04A0" w:firstRow="1" w:lastRow="0" w:firstColumn="1" w:lastColumn="0" w:noHBand="0" w:noVBand="1"/>
      </w:tblPr>
      <w:tblGrid>
        <w:gridCol w:w="2180"/>
        <w:gridCol w:w="1300"/>
        <w:gridCol w:w="1300"/>
        <w:gridCol w:w="1300"/>
        <w:gridCol w:w="1300"/>
        <w:gridCol w:w="1300"/>
      </w:tblGrid>
      <w:tr w:rsidR="000E3A94" w:rsidRPr="001E0489" w14:paraId="0605E653" w14:textId="77777777" w:rsidTr="00AD715B">
        <w:trPr>
          <w:trHeight w:val="340"/>
        </w:trPr>
        <w:tc>
          <w:tcPr>
            <w:tcW w:w="2180" w:type="dxa"/>
            <w:tcBorders>
              <w:top w:val="single" w:sz="4" w:space="0" w:color="auto"/>
              <w:left w:val="nil"/>
              <w:bottom w:val="single" w:sz="4" w:space="0" w:color="auto"/>
              <w:right w:val="nil"/>
            </w:tcBorders>
            <w:shd w:val="clear" w:color="auto" w:fill="auto"/>
            <w:vAlign w:val="center"/>
            <w:hideMark/>
          </w:tcPr>
          <w:p w14:paraId="0A4EE331"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VARIABLES</w:t>
            </w:r>
          </w:p>
        </w:tc>
        <w:tc>
          <w:tcPr>
            <w:tcW w:w="1300" w:type="dxa"/>
            <w:tcBorders>
              <w:top w:val="single" w:sz="4" w:space="0" w:color="auto"/>
              <w:left w:val="nil"/>
              <w:bottom w:val="single" w:sz="4" w:space="0" w:color="auto"/>
              <w:right w:val="nil"/>
            </w:tcBorders>
            <w:shd w:val="clear" w:color="auto" w:fill="auto"/>
            <w:vAlign w:val="center"/>
            <w:hideMark/>
          </w:tcPr>
          <w:p w14:paraId="0F6E7E9C" w14:textId="77777777" w:rsidR="000E3A94" w:rsidRPr="001E0489" w:rsidRDefault="000E3A94" w:rsidP="00AD715B">
            <w:pPr>
              <w:suppressAutoHyphens w:val="0"/>
              <w:spacing w:line="240" w:lineRule="auto"/>
              <w:jc w:val="center"/>
              <w:rPr>
                <w:rFonts w:eastAsia="Times New Roman"/>
                <w:i/>
                <w:iCs/>
                <w:color w:val="000000"/>
                <w:lang w:val="en-KR" w:eastAsia="ko-KR"/>
              </w:rPr>
            </w:pPr>
            <w:proofErr w:type="spellStart"/>
            <w:r w:rsidRPr="001E0489">
              <w:rPr>
                <w:rFonts w:eastAsia="Times New Roman"/>
                <w:i/>
                <w:iCs/>
                <w:color w:val="000000"/>
                <w:lang w:val="en-GB" w:eastAsia="ko-KR"/>
              </w:rPr>
              <w:t>Degreep</w:t>
            </w:r>
            <w:proofErr w:type="spellEnd"/>
          </w:p>
        </w:tc>
        <w:tc>
          <w:tcPr>
            <w:tcW w:w="1300" w:type="dxa"/>
            <w:tcBorders>
              <w:top w:val="single" w:sz="4" w:space="0" w:color="auto"/>
              <w:left w:val="nil"/>
              <w:bottom w:val="single" w:sz="4" w:space="0" w:color="auto"/>
              <w:right w:val="nil"/>
            </w:tcBorders>
            <w:shd w:val="clear" w:color="auto" w:fill="auto"/>
            <w:vAlign w:val="center"/>
            <w:hideMark/>
          </w:tcPr>
          <w:p w14:paraId="1CFBD5CE" w14:textId="77777777" w:rsidR="000E3A94" w:rsidRPr="001E0489" w:rsidRDefault="000E3A94" w:rsidP="00AD715B">
            <w:pPr>
              <w:suppressAutoHyphens w:val="0"/>
              <w:spacing w:line="240" w:lineRule="auto"/>
              <w:jc w:val="center"/>
              <w:rPr>
                <w:rFonts w:eastAsia="Times New Roman"/>
                <w:i/>
                <w:iCs/>
                <w:color w:val="000000"/>
                <w:lang w:val="en-KR" w:eastAsia="ko-KR"/>
              </w:rPr>
            </w:pPr>
            <w:proofErr w:type="spellStart"/>
            <w:r w:rsidRPr="001E0489">
              <w:rPr>
                <w:rFonts w:eastAsia="Times New Roman"/>
                <w:i/>
                <w:iCs/>
                <w:color w:val="000000"/>
                <w:lang w:val="en-GB" w:eastAsia="ko-KR"/>
              </w:rPr>
              <w:t>Degreep</w:t>
            </w:r>
            <w:proofErr w:type="spellEnd"/>
          </w:p>
        </w:tc>
        <w:tc>
          <w:tcPr>
            <w:tcW w:w="1300" w:type="dxa"/>
            <w:tcBorders>
              <w:top w:val="single" w:sz="4" w:space="0" w:color="auto"/>
              <w:left w:val="nil"/>
              <w:bottom w:val="single" w:sz="4" w:space="0" w:color="auto"/>
              <w:right w:val="nil"/>
            </w:tcBorders>
            <w:shd w:val="clear" w:color="auto" w:fill="auto"/>
            <w:vAlign w:val="center"/>
            <w:hideMark/>
          </w:tcPr>
          <w:p w14:paraId="0445FCFB" w14:textId="77777777" w:rsidR="000E3A94" w:rsidRPr="001E0489" w:rsidRDefault="000E3A94" w:rsidP="00AD715B">
            <w:pPr>
              <w:suppressAutoHyphens w:val="0"/>
              <w:spacing w:line="240" w:lineRule="auto"/>
              <w:jc w:val="center"/>
              <w:rPr>
                <w:rFonts w:eastAsia="Times New Roman"/>
                <w:i/>
                <w:iCs/>
                <w:color w:val="000000"/>
                <w:lang w:val="en-KR" w:eastAsia="ko-KR"/>
              </w:rPr>
            </w:pPr>
            <w:proofErr w:type="spellStart"/>
            <w:r w:rsidRPr="001E0489">
              <w:rPr>
                <w:rFonts w:eastAsia="Times New Roman"/>
                <w:i/>
                <w:iCs/>
                <w:color w:val="000000"/>
                <w:lang w:val="en-GB" w:eastAsia="ko-KR"/>
              </w:rPr>
              <w:t>Degreep</w:t>
            </w:r>
            <w:proofErr w:type="spellEnd"/>
          </w:p>
        </w:tc>
        <w:tc>
          <w:tcPr>
            <w:tcW w:w="1300" w:type="dxa"/>
            <w:tcBorders>
              <w:top w:val="single" w:sz="4" w:space="0" w:color="auto"/>
              <w:left w:val="nil"/>
              <w:bottom w:val="single" w:sz="4" w:space="0" w:color="auto"/>
              <w:right w:val="nil"/>
            </w:tcBorders>
            <w:shd w:val="clear" w:color="auto" w:fill="auto"/>
            <w:vAlign w:val="center"/>
            <w:hideMark/>
          </w:tcPr>
          <w:p w14:paraId="0C06E50E" w14:textId="77777777" w:rsidR="000E3A94" w:rsidRPr="001E0489" w:rsidRDefault="000E3A94" w:rsidP="00AD715B">
            <w:pPr>
              <w:suppressAutoHyphens w:val="0"/>
              <w:spacing w:line="240" w:lineRule="auto"/>
              <w:jc w:val="center"/>
              <w:rPr>
                <w:rFonts w:eastAsia="Times New Roman"/>
                <w:i/>
                <w:iCs/>
                <w:color w:val="000000"/>
                <w:lang w:val="en-KR" w:eastAsia="ko-KR"/>
              </w:rPr>
            </w:pPr>
            <w:proofErr w:type="spellStart"/>
            <w:r w:rsidRPr="001E0489">
              <w:rPr>
                <w:rFonts w:eastAsia="Times New Roman"/>
                <w:i/>
                <w:iCs/>
                <w:color w:val="000000"/>
                <w:lang w:val="en-GB" w:eastAsia="ko-KR"/>
              </w:rPr>
              <w:t>Degreep</w:t>
            </w:r>
            <w:proofErr w:type="spellEnd"/>
          </w:p>
        </w:tc>
        <w:tc>
          <w:tcPr>
            <w:tcW w:w="1300" w:type="dxa"/>
            <w:tcBorders>
              <w:top w:val="single" w:sz="4" w:space="0" w:color="auto"/>
              <w:left w:val="nil"/>
              <w:bottom w:val="single" w:sz="4" w:space="0" w:color="auto"/>
              <w:right w:val="nil"/>
            </w:tcBorders>
            <w:shd w:val="clear" w:color="auto" w:fill="auto"/>
            <w:vAlign w:val="center"/>
            <w:hideMark/>
          </w:tcPr>
          <w:p w14:paraId="7F8E0294" w14:textId="77777777" w:rsidR="000E3A94" w:rsidRPr="001E0489" w:rsidRDefault="000E3A94" w:rsidP="00AD715B">
            <w:pPr>
              <w:suppressAutoHyphens w:val="0"/>
              <w:spacing w:line="240" w:lineRule="auto"/>
              <w:jc w:val="center"/>
              <w:rPr>
                <w:rFonts w:eastAsia="Times New Roman"/>
                <w:i/>
                <w:iCs/>
                <w:color w:val="000000"/>
                <w:lang w:val="en-KR" w:eastAsia="ko-KR"/>
              </w:rPr>
            </w:pPr>
            <w:proofErr w:type="spellStart"/>
            <w:r w:rsidRPr="001E0489">
              <w:rPr>
                <w:rFonts w:eastAsia="Times New Roman"/>
                <w:i/>
                <w:iCs/>
                <w:color w:val="000000"/>
                <w:lang w:val="en-GB" w:eastAsia="ko-KR"/>
              </w:rPr>
              <w:t>Degreep</w:t>
            </w:r>
            <w:proofErr w:type="spellEnd"/>
          </w:p>
        </w:tc>
      </w:tr>
      <w:tr w:rsidR="000E3A94" w:rsidRPr="001E0489" w14:paraId="66BDA098" w14:textId="77777777" w:rsidTr="00AD715B">
        <w:trPr>
          <w:trHeight w:val="340"/>
        </w:trPr>
        <w:tc>
          <w:tcPr>
            <w:tcW w:w="2180" w:type="dxa"/>
            <w:tcBorders>
              <w:top w:val="nil"/>
              <w:left w:val="nil"/>
              <w:bottom w:val="nil"/>
              <w:right w:val="nil"/>
            </w:tcBorders>
            <w:shd w:val="clear" w:color="auto" w:fill="auto"/>
            <w:vAlign w:val="center"/>
            <w:hideMark/>
          </w:tcPr>
          <w:p w14:paraId="2B61A9B0" w14:textId="77777777" w:rsidR="000E3A94" w:rsidRPr="001E0489" w:rsidRDefault="000E3A94" w:rsidP="00AD715B">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Total</w:t>
            </w:r>
          </w:p>
        </w:tc>
        <w:tc>
          <w:tcPr>
            <w:tcW w:w="1300" w:type="dxa"/>
            <w:tcBorders>
              <w:top w:val="nil"/>
              <w:left w:val="nil"/>
              <w:bottom w:val="nil"/>
              <w:right w:val="nil"/>
            </w:tcBorders>
            <w:shd w:val="clear" w:color="auto" w:fill="auto"/>
            <w:vAlign w:val="center"/>
            <w:hideMark/>
          </w:tcPr>
          <w:p w14:paraId="5CB78CDE"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0.7464***</w:t>
            </w:r>
          </w:p>
        </w:tc>
        <w:tc>
          <w:tcPr>
            <w:tcW w:w="1300" w:type="dxa"/>
            <w:tcBorders>
              <w:top w:val="nil"/>
              <w:left w:val="nil"/>
              <w:bottom w:val="nil"/>
              <w:right w:val="nil"/>
            </w:tcBorders>
            <w:shd w:val="clear" w:color="auto" w:fill="auto"/>
            <w:vAlign w:val="center"/>
            <w:hideMark/>
          </w:tcPr>
          <w:p w14:paraId="08A408E1" w14:textId="77777777" w:rsidR="000E3A94" w:rsidRPr="001E0489" w:rsidRDefault="000E3A94" w:rsidP="00AD715B">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17F54641"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3794ED07"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6755EEF8" w14:textId="77777777" w:rsidR="000E3A94" w:rsidRPr="001E0489" w:rsidRDefault="000E3A94" w:rsidP="00AD715B">
            <w:pPr>
              <w:suppressAutoHyphens w:val="0"/>
              <w:spacing w:line="240" w:lineRule="auto"/>
              <w:jc w:val="center"/>
              <w:rPr>
                <w:rFonts w:eastAsia="Times New Roman"/>
                <w:sz w:val="20"/>
                <w:szCs w:val="20"/>
                <w:lang w:val="en-KR" w:eastAsia="ko-KR"/>
              </w:rPr>
            </w:pPr>
          </w:p>
        </w:tc>
      </w:tr>
      <w:tr w:rsidR="000E3A94" w:rsidRPr="001E0489" w14:paraId="4A347B55" w14:textId="77777777" w:rsidTr="00AD715B">
        <w:trPr>
          <w:trHeight w:val="340"/>
        </w:trPr>
        <w:tc>
          <w:tcPr>
            <w:tcW w:w="2180" w:type="dxa"/>
            <w:tcBorders>
              <w:top w:val="nil"/>
              <w:left w:val="nil"/>
              <w:bottom w:val="nil"/>
              <w:right w:val="nil"/>
            </w:tcBorders>
            <w:shd w:val="clear" w:color="auto" w:fill="auto"/>
            <w:vAlign w:val="center"/>
            <w:hideMark/>
          </w:tcPr>
          <w:p w14:paraId="13C6D4C4"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4DDD2C1C"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(0.0483)</w:t>
            </w:r>
          </w:p>
        </w:tc>
        <w:tc>
          <w:tcPr>
            <w:tcW w:w="1300" w:type="dxa"/>
            <w:tcBorders>
              <w:top w:val="nil"/>
              <w:left w:val="nil"/>
              <w:bottom w:val="nil"/>
              <w:right w:val="nil"/>
            </w:tcBorders>
            <w:shd w:val="clear" w:color="auto" w:fill="auto"/>
            <w:vAlign w:val="center"/>
            <w:hideMark/>
          </w:tcPr>
          <w:p w14:paraId="38F1FDE5" w14:textId="77777777" w:rsidR="000E3A94" w:rsidRPr="001E0489" w:rsidRDefault="000E3A94" w:rsidP="00AD715B">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36A61E39"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1DE236FE"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0A64704A" w14:textId="77777777" w:rsidR="000E3A94" w:rsidRPr="001E0489" w:rsidRDefault="000E3A94" w:rsidP="00AD715B">
            <w:pPr>
              <w:suppressAutoHyphens w:val="0"/>
              <w:spacing w:line="240" w:lineRule="auto"/>
              <w:jc w:val="center"/>
              <w:rPr>
                <w:rFonts w:eastAsia="Times New Roman"/>
                <w:sz w:val="20"/>
                <w:szCs w:val="20"/>
                <w:lang w:val="en-KR" w:eastAsia="ko-KR"/>
              </w:rPr>
            </w:pPr>
          </w:p>
        </w:tc>
      </w:tr>
      <w:tr w:rsidR="000E3A94" w:rsidRPr="001E0489" w14:paraId="5BCC62F4" w14:textId="77777777" w:rsidTr="00AD715B">
        <w:trPr>
          <w:trHeight w:val="340"/>
        </w:trPr>
        <w:tc>
          <w:tcPr>
            <w:tcW w:w="2180" w:type="dxa"/>
            <w:tcBorders>
              <w:top w:val="nil"/>
              <w:left w:val="nil"/>
              <w:bottom w:val="nil"/>
              <w:right w:val="nil"/>
            </w:tcBorders>
            <w:shd w:val="clear" w:color="auto" w:fill="auto"/>
            <w:vAlign w:val="center"/>
            <w:hideMark/>
          </w:tcPr>
          <w:p w14:paraId="5A6C4B69" w14:textId="77777777" w:rsidR="000E3A94" w:rsidRPr="001E0489" w:rsidRDefault="000E3A94" w:rsidP="00AD715B">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AI</w:t>
            </w:r>
          </w:p>
        </w:tc>
        <w:tc>
          <w:tcPr>
            <w:tcW w:w="1300" w:type="dxa"/>
            <w:tcBorders>
              <w:top w:val="nil"/>
              <w:left w:val="nil"/>
              <w:bottom w:val="nil"/>
              <w:right w:val="nil"/>
            </w:tcBorders>
            <w:shd w:val="clear" w:color="auto" w:fill="auto"/>
            <w:vAlign w:val="center"/>
            <w:hideMark/>
          </w:tcPr>
          <w:p w14:paraId="0795EBB1" w14:textId="77777777" w:rsidR="000E3A94" w:rsidRPr="001E0489" w:rsidRDefault="000E3A94" w:rsidP="00AD715B">
            <w:pPr>
              <w:suppressAutoHyphens w:val="0"/>
              <w:spacing w:line="240" w:lineRule="auto"/>
              <w:rPr>
                <w:rFonts w:eastAsia="Times New Roman"/>
                <w:i/>
                <w:iCs/>
                <w:color w:val="000000"/>
                <w:lang w:val="en-KR" w:eastAsia="ko-KR"/>
              </w:rPr>
            </w:pPr>
          </w:p>
        </w:tc>
        <w:tc>
          <w:tcPr>
            <w:tcW w:w="1300" w:type="dxa"/>
            <w:tcBorders>
              <w:top w:val="nil"/>
              <w:left w:val="nil"/>
              <w:bottom w:val="nil"/>
              <w:right w:val="nil"/>
            </w:tcBorders>
            <w:shd w:val="clear" w:color="auto" w:fill="auto"/>
            <w:vAlign w:val="center"/>
            <w:hideMark/>
          </w:tcPr>
          <w:p w14:paraId="1D7F9209"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0.8393***</w:t>
            </w:r>
          </w:p>
        </w:tc>
        <w:tc>
          <w:tcPr>
            <w:tcW w:w="1300" w:type="dxa"/>
            <w:tcBorders>
              <w:top w:val="nil"/>
              <w:left w:val="nil"/>
              <w:bottom w:val="nil"/>
              <w:right w:val="nil"/>
            </w:tcBorders>
            <w:shd w:val="clear" w:color="auto" w:fill="auto"/>
            <w:vAlign w:val="center"/>
            <w:hideMark/>
          </w:tcPr>
          <w:p w14:paraId="4212279B" w14:textId="77777777" w:rsidR="000E3A94" w:rsidRPr="001E0489" w:rsidRDefault="000E3A94" w:rsidP="00AD715B">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4D8631F6"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30377D3D" w14:textId="77777777" w:rsidR="000E3A94" w:rsidRPr="001E0489" w:rsidRDefault="000E3A94" w:rsidP="00AD715B">
            <w:pPr>
              <w:suppressAutoHyphens w:val="0"/>
              <w:spacing w:line="240" w:lineRule="auto"/>
              <w:jc w:val="center"/>
              <w:rPr>
                <w:rFonts w:eastAsia="Times New Roman"/>
                <w:sz w:val="20"/>
                <w:szCs w:val="20"/>
                <w:lang w:val="en-KR" w:eastAsia="ko-KR"/>
              </w:rPr>
            </w:pPr>
          </w:p>
        </w:tc>
      </w:tr>
      <w:tr w:rsidR="000E3A94" w:rsidRPr="001E0489" w14:paraId="202F268F" w14:textId="77777777" w:rsidTr="00AD715B">
        <w:trPr>
          <w:trHeight w:val="340"/>
        </w:trPr>
        <w:tc>
          <w:tcPr>
            <w:tcW w:w="2180" w:type="dxa"/>
            <w:tcBorders>
              <w:top w:val="nil"/>
              <w:left w:val="nil"/>
              <w:bottom w:val="nil"/>
              <w:right w:val="nil"/>
            </w:tcBorders>
            <w:shd w:val="clear" w:color="auto" w:fill="auto"/>
            <w:vAlign w:val="center"/>
            <w:hideMark/>
          </w:tcPr>
          <w:p w14:paraId="4AFD03A8"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678215C7" w14:textId="77777777" w:rsidR="000E3A94" w:rsidRPr="001E0489" w:rsidRDefault="000E3A94" w:rsidP="00AD715B">
            <w:pPr>
              <w:suppressAutoHyphens w:val="0"/>
              <w:spacing w:line="240" w:lineRule="auto"/>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048A53A8"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(0.0619)</w:t>
            </w:r>
          </w:p>
        </w:tc>
        <w:tc>
          <w:tcPr>
            <w:tcW w:w="1300" w:type="dxa"/>
            <w:tcBorders>
              <w:top w:val="nil"/>
              <w:left w:val="nil"/>
              <w:bottom w:val="nil"/>
              <w:right w:val="nil"/>
            </w:tcBorders>
            <w:shd w:val="clear" w:color="auto" w:fill="auto"/>
            <w:vAlign w:val="center"/>
            <w:hideMark/>
          </w:tcPr>
          <w:p w14:paraId="49B7F7C6" w14:textId="77777777" w:rsidR="000E3A94" w:rsidRPr="001E0489" w:rsidRDefault="000E3A94" w:rsidP="00AD715B">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31A9330F"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43188EE8" w14:textId="77777777" w:rsidR="000E3A94" w:rsidRPr="001E0489" w:rsidRDefault="000E3A94" w:rsidP="00AD715B">
            <w:pPr>
              <w:suppressAutoHyphens w:val="0"/>
              <w:spacing w:line="240" w:lineRule="auto"/>
              <w:jc w:val="center"/>
              <w:rPr>
                <w:rFonts w:eastAsia="Times New Roman"/>
                <w:sz w:val="20"/>
                <w:szCs w:val="20"/>
                <w:lang w:val="en-KR" w:eastAsia="ko-KR"/>
              </w:rPr>
            </w:pPr>
          </w:p>
        </w:tc>
      </w:tr>
      <w:tr w:rsidR="000E3A94" w:rsidRPr="001E0489" w14:paraId="74E27BF5" w14:textId="77777777" w:rsidTr="00AD715B">
        <w:trPr>
          <w:trHeight w:val="340"/>
        </w:trPr>
        <w:tc>
          <w:tcPr>
            <w:tcW w:w="2180" w:type="dxa"/>
            <w:tcBorders>
              <w:top w:val="nil"/>
              <w:left w:val="nil"/>
              <w:bottom w:val="nil"/>
              <w:right w:val="nil"/>
            </w:tcBorders>
            <w:shd w:val="clear" w:color="auto" w:fill="auto"/>
            <w:vAlign w:val="center"/>
            <w:hideMark/>
          </w:tcPr>
          <w:p w14:paraId="4BE71257" w14:textId="77777777" w:rsidR="000E3A94" w:rsidRPr="001E0489" w:rsidRDefault="000E3A94" w:rsidP="00AD715B">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Big</w:t>
            </w:r>
          </w:p>
        </w:tc>
        <w:tc>
          <w:tcPr>
            <w:tcW w:w="1300" w:type="dxa"/>
            <w:tcBorders>
              <w:top w:val="nil"/>
              <w:left w:val="nil"/>
              <w:bottom w:val="nil"/>
              <w:right w:val="nil"/>
            </w:tcBorders>
            <w:shd w:val="clear" w:color="auto" w:fill="auto"/>
            <w:vAlign w:val="center"/>
            <w:hideMark/>
          </w:tcPr>
          <w:p w14:paraId="7AB77E00" w14:textId="77777777" w:rsidR="000E3A94" w:rsidRPr="001E0489" w:rsidRDefault="000E3A94" w:rsidP="00AD715B">
            <w:pPr>
              <w:suppressAutoHyphens w:val="0"/>
              <w:spacing w:line="240" w:lineRule="auto"/>
              <w:rPr>
                <w:rFonts w:eastAsia="Times New Roman"/>
                <w:i/>
                <w:iCs/>
                <w:color w:val="000000"/>
                <w:lang w:val="en-KR" w:eastAsia="ko-KR"/>
              </w:rPr>
            </w:pPr>
          </w:p>
        </w:tc>
        <w:tc>
          <w:tcPr>
            <w:tcW w:w="1300" w:type="dxa"/>
            <w:tcBorders>
              <w:top w:val="nil"/>
              <w:left w:val="nil"/>
              <w:bottom w:val="nil"/>
              <w:right w:val="nil"/>
            </w:tcBorders>
            <w:shd w:val="clear" w:color="auto" w:fill="auto"/>
            <w:vAlign w:val="center"/>
            <w:hideMark/>
          </w:tcPr>
          <w:p w14:paraId="6C69C381"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307E0F4B"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0.5533***</w:t>
            </w:r>
          </w:p>
        </w:tc>
        <w:tc>
          <w:tcPr>
            <w:tcW w:w="1300" w:type="dxa"/>
            <w:tcBorders>
              <w:top w:val="nil"/>
              <w:left w:val="nil"/>
              <w:bottom w:val="nil"/>
              <w:right w:val="nil"/>
            </w:tcBorders>
            <w:shd w:val="clear" w:color="auto" w:fill="auto"/>
            <w:vAlign w:val="center"/>
            <w:hideMark/>
          </w:tcPr>
          <w:p w14:paraId="6F1D8B95" w14:textId="77777777" w:rsidR="000E3A94" w:rsidRPr="001E0489" w:rsidRDefault="000E3A94" w:rsidP="00AD715B">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5B80BD13" w14:textId="77777777" w:rsidR="000E3A94" w:rsidRPr="001E0489" w:rsidRDefault="000E3A94" w:rsidP="00AD715B">
            <w:pPr>
              <w:suppressAutoHyphens w:val="0"/>
              <w:spacing w:line="240" w:lineRule="auto"/>
              <w:jc w:val="center"/>
              <w:rPr>
                <w:rFonts w:eastAsia="Times New Roman"/>
                <w:sz w:val="20"/>
                <w:szCs w:val="20"/>
                <w:lang w:val="en-KR" w:eastAsia="ko-KR"/>
              </w:rPr>
            </w:pPr>
          </w:p>
        </w:tc>
      </w:tr>
      <w:tr w:rsidR="000E3A94" w:rsidRPr="001E0489" w14:paraId="2C25CAEE" w14:textId="77777777" w:rsidTr="00AD715B">
        <w:trPr>
          <w:trHeight w:val="340"/>
        </w:trPr>
        <w:tc>
          <w:tcPr>
            <w:tcW w:w="2180" w:type="dxa"/>
            <w:tcBorders>
              <w:top w:val="nil"/>
              <w:left w:val="nil"/>
              <w:bottom w:val="nil"/>
              <w:right w:val="nil"/>
            </w:tcBorders>
            <w:shd w:val="clear" w:color="auto" w:fill="auto"/>
            <w:vAlign w:val="center"/>
            <w:hideMark/>
          </w:tcPr>
          <w:p w14:paraId="2FBA6216"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1C51B80B" w14:textId="77777777" w:rsidR="000E3A94" w:rsidRPr="001E0489" w:rsidRDefault="000E3A94" w:rsidP="00AD715B">
            <w:pPr>
              <w:suppressAutoHyphens w:val="0"/>
              <w:spacing w:line="240" w:lineRule="auto"/>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060E2D81"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68F4677B"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(0.0727)</w:t>
            </w:r>
          </w:p>
        </w:tc>
        <w:tc>
          <w:tcPr>
            <w:tcW w:w="1300" w:type="dxa"/>
            <w:tcBorders>
              <w:top w:val="nil"/>
              <w:left w:val="nil"/>
              <w:bottom w:val="nil"/>
              <w:right w:val="nil"/>
            </w:tcBorders>
            <w:shd w:val="clear" w:color="auto" w:fill="auto"/>
            <w:vAlign w:val="center"/>
            <w:hideMark/>
          </w:tcPr>
          <w:p w14:paraId="0332CDAD" w14:textId="77777777" w:rsidR="000E3A94" w:rsidRPr="001E0489" w:rsidRDefault="000E3A94" w:rsidP="00AD715B">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4F092037" w14:textId="77777777" w:rsidR="000E3A94" w:rsidRPr="001E0489" w:rsidRDefault="000E3A94" w:rsidP="00AD715B">
            <w:pPr>
              <w:suppressAutoHyphens w:val="0"/>
              <w:spacing w:line="240" w:lineRule="auto"/>
              <w:jc w:val="center"/>
              <w:rPr>
                <w:rFonts w:eastAsia="Times New Roman"/>
                <w:sz w:val="20"/>
                <w:szCs w:val="20"/>
                <w:lang w:val="en-KR" w:eastAsia="ko-KR"/>
              </w:rPr>
            </w:pPr>
          </w:p>
        </w:tc>
      </w:tr>
      <w:tr w:rsidR="000E3A94" w:rsidRPr="001E0489" w14:paraId="0641BE72" w14:textId="77777777" w:rsidTr="00AD715B">
        <w:trPr>
          <w:trHeight w:val="340"/>
        </w:trPr>
        <w:tc>
          <w:tcPr>
            <w:tcW w:w="2180" w:type="dxa"/>
            <w:tcBorders>
              <w:top w:val="nil"/>
              <w:left w:val="nil"/>
              <w:bottom w:val="nil"/>
              <w:right w:val="nil"/>
            </w:tcBorders>
            <w:shd w:val="clear" w:color="auto" w:fill="auto"/>
            <w:vAlign w:val="center"/>
            <w:hideMark/>
          </w:tcPr>
          <w:p w14:paraId="40E6DAFC" w14:textId="77777777" w:rsidR="000E3A94" w:rsidRPr="001E0489" w:rsidRDefault="000E3A94" w:rsidP="00AD715B">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Cloud</w:t>
            </w:r>
          </w:p>
        </w:tc>
        <w:tc>
          <w:tcPr>
            <w:tcW w:w="1300" w:type="dxa"/>
            <w:tcBorders>
              <w:top w:val="nil"/>
              <w:left w:val="nil"/>
              <w:bottom w:val="nil"/>
              <w:right w:val="nil"/>
            </w:tcBorders>
            <w:shd w:val="clear" w:color="auto" w:fill="auto"/>
            <w:vAlign w:val="center"/>
            <w:hideMark/>
          </w:tcPr>
          <w:p w14:paraId="736BDD2B" w14:textId="77777777" w:rsidR="000E3A94" w:rsidRPr="001E0489" w:rsidRDefault="000E3A94" w:rsidP="00AD715B">
            <w:pPr>
              <w:suppressAutoHyphens w:val="0"/>
              <w:spacing w:line="240" w:lineRule="auto"/>
              <w:rPr>
                <w:rFonts w:eastAsia="Times New Roman"/>
                <w:i/>
                <w:iCs/>
                <w:color w:val="000000"/>
                <w:lang w:val="en-KR" w:eastAsia="ko-KR"/>
              </w:rPr>
            </w:pPr>
          </w:p>
        </w:tc>
        <w:tc>
          <w:tcPr>
            <w:tcW w:w="1300" w:type="dxa"/>
            <w:tcBorders>
              <w:top w:val="nil"/>
              <w:left w:val="nil"/>
              <w:bottom w:val="nil"/>
              <w:right w:val="nil"/>
            </w:tcBorders>
            <w:shd w:val="clear" w:color="auto" w:fill="auto"/>
            <w:vAlign w:val="center"/>
            <w:hideMark/>
          </w:tcPr>
          <w:p w14:paraId="0C10C2D8"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7A0F947C"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42C045D8"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0.9159***</w:t>
            </w:r>
          </w:p>
        </w:tc>
        <w:tc>
          <w:tcPr>
            <w:tcW w:w="1300" w:type="dxa"/>
            <w:tcBorders>
              <w:top w:val="nil"/>
              <w:left w:val="nil"/>
              <w:bottom w:val="nil"/>
              <w:right w:val="nil"/>
            </w:tcBorders>
            <w:shd w:val="clear" w:color="auto" w:fill="auto"/>
            <w:vAlign w:val="center"/>
            <w:hideMark/>
          </w:tcPr>
          <w:p w14:paraId="65443F6A" w14:textId="77777777" w:rsidR="000E3A94" w:rsidRPr="001E0489" w:rsidRDefault="000E3A94" w:rsidP="00AD715B">
            <w:pPr>
              <w:suppressAutoHyphens w:val="0"/>
              <w:spacing w:line="240" w:lineRule="auto"/>
              <w:jc w:val="center"/>
              <w:rPr>
                <w:rFonts w:eastAsia="Times New Roman"/>
                <w:color w:val="000000"/>
                <w:lang w:val="en-KR" w:eastAsia="ko-KR"/>
              </w:rPr>
            </w:pPr>
          </w:p>
        </w:tc>
      </w:tr>
      <w:tr w:rsidR="000E3A94" w:rsidRPr="001E0489" w14:paraId="396809CC" w14:textId="77777777" w:rsidTr="00AD715B">
        <w:trPr>
          <w:trHeight w:val="340"/>
        </w:trPr>
        <w:tc>
          <w:tcPr>
            <w:tcW w:w="2180" w:type="dxa"/>
            <w:tcBorders>
              <w:top w:val="nil"/>
              <w:left w:val="nil"/>
              <w:bottom w:val="nil"/>
              <w:right w:val="nil"/>
            </w:tcBorders>
            <w:shd w:val="clear" w:color="auto" w:fill="auto"/>
            <w:vAlign w:val="center"/>
            <w:hideMark/>
          </w:tcPr>
          <w:p w14:paraId="2333D556"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168C0761" w14:textId="77777777" w:rsidR="000E3A94" w:rsidRPr="001E0489" w:rsidRDefault="000E3A94" w:rsidP="00AD715B">
            <w:pPr>
              <w:suppressAutoHyphens w:val="0"/>
              <w:spacing w:line="240" w:lineRule="auto"/>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1503E47D"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5161577E"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1E664C93"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(0.0665)</w:t>
            </w:r>
          </w:p>
        </w:tc>
        <w:tc>
          <w:tcPr>
            <w:tcW w:w="1300" w:type="dxa"/>
            <w:tcBorders>
              <w:top w:val="nil"/>
              <w:left w:val="nil"/>
              <w:bottom w:val="nil"/>
              <w:right w:val="nil"/>
            </w:tcBorders>
            <w:shd w:val="clear" w:color="auto" w:fill="auto"/>
            <w:vAlign w:val="center"/>
            <w:hideMark/>
          </w:tcPr>
          <w:p w14:paraId="55946809" w14:textId="77777777" w:rsidR="000E3A94" w:rsidRPr="001E0489" w:rsidRDefault="000E3A94" w:rsidP="00AD715B">
            <w:pPr>
              <w:suppressAutoHyphens w:val="0"/>
              <w:spacing w:line="240" w:lineRule="auto"/>
              <w:jc w:val="center"/>
              <w:rPr>
                <w:rFonts w:eastAsia="Times New Roman"/>
                <w:color w:val="000000"/>
                <w:lang w:val="en-KR" w:eastAsia="ko-KR"/>
              </w:rPr>
            </w:pPr>
          </w:p>
        </w:tc>
      </w:tr>
      <w:tr w:rsidR="000E3A94" w:rsidRPr="001E0489" w14:paraId="100DF8C7" w14:textId="77777777" w:rsidTr="00AD715B">
        <w:trPr>
          <w:trHeight w:val="340"/>
        </w:trPr>
        <w:tc>
          <w:tcPr>
            <w:tcW w:w="2180" w:type="dxa"/>
            <w:tcBorders>
              <w:top w:val="nil"/>
              <w:left w:val="nil"/>
              <w:bottom w:val="nil"/>
              <w:right w:val="nil"/>
            </w:tcBorders>
            <w:shd w:val="clear" w:color="auto" w:fill="auto"/>
            <w:vAlign w:val="center"/>
            <w:hideMark/>
          </w:tcPr>
          <w:p w14:paraId="674C997E" w14:textId="77777777" w:rsidR="000E3A94" w:rsidRPr="001E0489" w:rsidRDefault="000E3A94" w:rsidP="00AD715B">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Block</w:t>
            </w:r>
          </w:p>
        </w:tc>
        <w:tc>
          <w:tcPr>
            <w:tcW w:w="1300" w:type="dxa"/>
            <w:tcBorders>
              <w:top w:val="nil"/>
              <w:left w:val="nil"/>
              <w:bottom w:val="nil"/>
              <w:right w:val="nil"/>
            </w:tcBorders>
            <w:shd w:val="clear" w:color="auto" w:fill="auto"/>
            <w:vAlign w:val="center"/>
            <w:hideMark/>
          </w:tcPr>
          <w:p w14:paraId="00A9746F" w14:textId="77777777" w:rsidR="000E3A94" w:rsidRPr="001E0489" w:rsidRDefault="000E3A94" w:rsidP="00AD715B">
            <w:pPr>
              <w:suppressAutoHyphens w:val="0"/>
              <w:spacing w:line="240" w:lineRule="auto"/>
              <w:rPr>
                <w:rFonts w:eastAsia="Times New Roman"/>
                <w:i/>
                <w:iCs/>
                <w:color w:val="000000"/>
                <w:lang w:val="en-KR" w:eastAsia="ko-KR"/>
              </w:rPr>
            </w:pPr>
          </w:p>
        </w:tc>
        <w:tc>
          <w:tcPr>
            <w:tcW w:w="1300" w:type="dxa"/>
            <w:tcBorders>
              <w:top w:val="nil"/>
              <w:left w:val="nil"/>
              <w:bottom w:val="nil"/>
              <w:right w:val="nil"/>
            </w:tcBorders>
            <w:shd w:val="clear" w:color="auto" w:fill="auto"/>
            <w:vAlign w:val="center"/>
            <w:hideMark/>
          </w:tcPr>
          <w:p w14:paraId="7FE46AE3"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78E578E1"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165B430E"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4628388B"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-0.7260*</w:t>
            </w:r>
          </w:p>
        </w:tc>
      </w:tr>
      <w:tr w:rsidR="000E3A94" w:rsidRPr="001E0489" w14:paraId="527A27B4" w14:textId="77777777" w:rsidTr="00AD715B">
        <w:trPr>
          <w:trHeight w:val="340"/>
        </w:trPr>
        <w:tc>
          <w:tcPr>
            <w:tcW w:w="2180" w:type="dxa"/>
            <w:tcBorders>
              <w:top w:val="nil"/>
              <w:left w:val="nil"/>
              <w:bottom w:val="nil"/>
              <w:right w:val="nil"/>
            </w:tcBorders>
            <w:shd w:val="clear" w:color="auto" w:fill="auto"/>
            <w:vAlign w:val="center"/>
            <w:hideMark/>
          </w:tcPr>
          <w:p w14:paraId="030D9A53" w14:textId="77777777" w:rsidR="000E3A94" w:rsidRPr="001E0489" w:rsidRDefault="000E3A94" w:rsidP="00AD715B">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3BE62630" w14:textId="77777777" w:rsidR="000E3A94" w:rsidRPr="001E0489" w:rsidRDefault="000E3A94" w:rsidP="00AD715B">
            <w:pPr>
              <w:suppressAutoHyphens w:val="0"/>
              <w:spacing w:line="240" w:lineRule="auto"/>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0753D696"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365BE620"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7E9824D9"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2DCAA71F"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(0.4398)</w:t>
            </w:r>
          </w:p>
        </w:tc>
      </w:tr>
      <w:tr w:rsidR="000E3A94" w:rsidRPr="001E0489" w14:paraId="25FE0A00" w14:textId="77777777" w:rsidTr="00AD715B">
        <w:trPr>
          <w:trHeight w:val="340"/>
        </w:trPr>
        <w:tc>
          <w:tcPr>
            <w:tcW w:w="2180" w:type="dxa"/>
            <w:tcBorders>
              <w:top w:val="nil"/>
              <w:left w:val="nil"/>
              <w:bottom w:val="nil"/>
              <w:right w:val="nil"/>
            </w:tcBorders>
            <w:shd w:val="clear" w:color="auto" w:fill="auto"/>
            <w:vAlign w:val="center"/>
            <w:hideMark/>
          </w:tcPr>
          <w:p w14:paraId="3351FD42" w14:textId="77777777" w:rsidR="000E3A94" w:rsidRPr="001E0489" w:rsidRDefault="000E3A94" w:rsidP="00AD715B">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ROA</w:t>
            </w:r>
          </w:p>
        </w:tc>
        <w:tc>
          <w:tcPr>
            <w:tcW w:w="1300" w:type="dxa"/>
            <w:tcBorders>
              <w:top w:val="nil"/>
              <w:left w:val="nil"/>
              <w:bottom w:val="nil"/>
              <w:right w:val="nil"/>
            </w:tcBorders>
            <w:shd w:val="clear" w:color="auto" w:fill="auto"/>
            <w:vAlign w:val="center"/>
            <w:hideMark/>
          </w:tcPr>
          <w:p w14:paraId="6B6D90C9"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1.9267***</w:t>
            </w:r>
          </w:p>
        </w:tc>
        <w:tc>
          <w:tcPr>
            <w:tcW w:w="1300" w:type="dxa"/>
            <w:tcBorders>
              <w:top w:val="nil"/>
              <w:left w:val="nil"/>
              <w:bottom w:val="nil"/>
              <w:right w:val="nil"/>
            </w:tcBorders>
            <w:shd w:val="clear" w:color="auto" w:fill="auto"/>
            <w:vAlign w:val="center"/>
            <w:hideMark/>
          </w:tcPr>
          <w:p w14:paraId="6558579E"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1.9005***</w:t>
            </w:r>
          </w:p>
        </w:tc>
        <w:tc>
          <w:tcPr>
            <w:tcW w:w="1300" w:type="dxa"/>
            <w:tcBorders>
              <w:top w:val="nil"/>
              <w:left w:val="nil"/>
              <w:bottom w:val="nil"/>
              <w:right w:val="nil"/>
            </w:tcBorders>
            <w:shd w:val="clear" w:color="auto" w:fill="auto"/>
            <w:vAlign w:val="center"/>
            <w:hideMark/>
          </w:tcPr>
          <w:p w14:paraId="0926381F"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1.9439***</w:t>
            </w:r>
          </w:p>
        </w:tc>
        <w:tc>
          <w:tcPr>
            <w:tcW w:w="1300" w:type="dxa"/>
            <w:tcBorders>
              <w:top w:val="nil"/>
              <w:left w:val="nil"/>
              <w:bottom w:val="nil"/>
              <w:right w:val="nil"/>
            </w:tcBorders>
            <w:shd w:val="clear" w:color="auto" w:fill="auto"/>
            <w:vAlign w:val="center"/>
            <w:hideMark/>
          </w:tcPr>
          <w:p w14:paraId="1A43AA12"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1.9334***</w:t>
            </w:r>
          </w:p>
        </w:tc>
        <w:tc>
          <w:tcPr>
            <w:tcW w:w="1300" w:type="dxa"/>
            <w:tcBorders>
              <w:top w:val="nil"/>
              <w:left w:val="nil"/>
              <w:bottom w:val="nil"/>
              <w:right w:val="nil"/>
            </w:tcBorders>
            <w:shd w:val="clear" w:color="auto" w:fill="auto"/>
            <w:vAlign w:val="center"/>
            <w:hideMark/>
          </w:tcPr>
          <w:p w14:paraId="30E03FD8"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1.9352***</w:t>
            </w:r>
          </w:p>
        </w:tc>
      </w:tr>
      <w:tr w:rsidR="000E3A94" w:rsidRPr="001E0489" w14:paraId="7590C2A6" w14:textId="77777777" w:rsidTr="00AD715B">
        <w:trPr>
          <w:trHeight w:val="340"/>
        </w:trPr>
        <w:tc>
          <w:tcPr>
            <w:tcW w:w="2180" w:type="dxa"/>
            <w:tcBorders>
              <w:top w:val="nil"/>
              <w:left w:val="nil"/>
              <w:bottom w:val="nil"/>
              <w:right w:val="nil"/>
            </w:tcBorders>
            <w:shd w:val="clear" w:color="auto" w:fill="auto"/>
            <w:vAlign w:val="center"/>
            <w:hideMark/>
          </w:tcPr>
          <w:p w14:paraId="1DD2753F" w14:textId="77777777" w:rsidR="000E3A94" w:rsidRPr="001E0489" w:rsidRDefault="000E3A94" w:rsidP="00AD715B">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2DE8C429"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(0.3733)</w:t>
            </w:r>
          </w:p>
        </w:tc>
        <w:tc>
          <w:tcPr>
            <w:tcW w:w="1300" w:type="dxa"/>
            <w:tcBorders>
              <w:top w:val="nil"/>
              <w:left w:val="nil"/>
              <w:bottom w:val="nil"/>
              <w:right w:val="nil"/>
            </w:tcBorders>
            <w:shd w:val="clear" w:color="auto" w:fill="auto"/>
            <w:vAlign w:val="center"/>
            <w:hideMark/>
          </w:tcPr>
          <w:p w14:paraId="55BA1D4E"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(0.3738)</w:t>
            </w:r>
          </w:p>
        </w:tc>
        <w:tc>
          <w:tcPr>
            <w:tcW w:w="1300" w:type="dxa"/>
            <w:tcBorders>
              <w:top w:val="nil"/>
              <w:left w:val="nil"/>
              <w:bottom w:val="nil"/>
              <w:right w:val="nil"/>
            </w:tcBorders>
            <w:shd w:val="clear" w:color="auto" w:fill="auto"/>
            <w:vAlign w:val="center"/>
            <w:hideMark/>
          </w:tcPr>
          <w:p w14:paraId="60030CF4"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(0.3750)</w:t>
            </w:r>
          </w:p>
        </w:tc>
        <w:tc>
          <w:tcPr>
            <w:tcW w:w="1300" w:type="dxa"/>
            <w:tcBorders>
              <w:top w:val="nil"/>
              <w:left w:val="nil"/>
              <w:bottom w:val="nil"/>
              <w:right w:val="nil"/>
            </w:tcBorders>
            <w:shd w:val="clear" w:color="auto" w:fill="auto"/>
            <w:vAlign w:val="center"/>
            <w:hideMark/>
          </w:tcPr>
          <w:p w14:paraId="7014E1C0"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(0.3737)</w:t>
            </w:r>
          </w:p>
        </w:tc>
        <w:tc>
          <w:tcPr>
            <w:tcW w:w="1300" w:type="dxa"/>
            <w:tcBorders>
              <w:top w:val="nil"/>
              <w:left w:val="nil"/>
              <w:bottom w:val="nil"/>
              <w:right w:val="nil"/>
            </w:tcBorders>
            <w:shd w:val="clear" w:color="auto" w:fill="auto"/>
            <w:vAlign w:val="center"/>
            <w:hideMark/>
          </w:tcPr>
          <w:p w14:paraId="6C257F47"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(0.3755)</w:t>
            </w:r>
          </w:p>
        </w:tc>
      </w:tr>
      <w:tr w:rsidR="000E3A94" w:rsidRPr="001E0489" w14:paraId="44A706D8" w14:textId="77777777" w:rsidTr="00AD715B">
        <w:trPr>
          <w:trHeight w:val="340"/>
        </w:trPr>
        <w:tc>
          <w:tcPr>
            <w:tcW w:w="2180" w:type="dxa"/>
            <w:tcBorders>
              <w:top w:val="nil"/>
              <w:left w:val="nil"/>
              <w:bottom w:val="nil"/>
              <w:right w:val="nil"/>
            </w:tcBorders>
            <w:shd w:val="clear" w:color="auto" w:fill="auto"/>
            <w:vAlign w:val="center"/>
            <w:hideMark/>
          </w:tcPr>
          <w:p w14:paraId="4D883DE2" w14:textId="77777777" w:rsidR="000E3A94" w:rsidRPr="001E0489" w:rsidRDefault="000E3A94" w:rsidP="00AD715B">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Solvency</w:t>
            </w:r>
          </w:p>
        </w:tc>
        <w:tc>
          <w:tcPr>
            <w:tcW w:w="1300" w:type="dxa"/>
            <w:tcBorders>
              <w:top w:val="nil"/>
              <w:left w:val="nil"/>
              <w:bottom w:val="nil"/>
              <w:right w:val="nil"/>
            </w:tcBorders>
            <w:shd w:val="clear" w:color="auto" w:fill="auto"/>
            <w:vAlign w:val="center"/>
            <w:hideMark/>
          </w:tcPr>
          <w:p w14:paraId="7EBAF05F"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-0.1157**</w:t>
            </w:r>
          </w:p>
        </w:tc>
        <w:tc>
          <w:tcPr>
            <w:tcW w:w="1300" w:type="dxa"/>
            <w:tcBorders>
              <w:top w:val="nil"/>
              <w:left w:val="nil"/>
              <w:bottom w:val="nil"/>
              <w:right w:val="nil"/>
            </w:tcBorders>
            <w:shd w:val="clear" w:color="auto" w:fill="auto"/>
            <w:vAlign w:val="center"/>
            <w:hideMark/>
          </w:tcPr>
          <w:p w14:paraId="64A47494"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-0.1153**</w:t>
            </w:r>
          </w:p>
        </w:tc>
        <w:tc>
          <w:tcPr>
            <w:tcW w:w="1300" w:type="dxa"/>
            <w:tcBorders>
              <w:top w:val="nil"/>
              <w:left w:val="nil"/>
              <w:bottom w:val="nil"/>
              <w:right w:val="nil"/>
            </w:tcBorders>
            <w:shd w:val="clear" w:color="auto" w:fill="auto"/>
            <w:vAlign w:val="center"/>
            <w:hideMark/>
          </w:tcPr>
          <w:p w14:paraId="14194C93"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-0.1237**</w:t>
            </w:r>
          </w:p>
        </w:tc>
        <w:tc>
          <w:tcPr>
            <w:tcW w:w="1300" w:type="dxa"/>
            <w:tcBorders>
              <w:top w:val="nil"/>
              <w:left w:val="nil"/>
              <w:bottom w:val="nil"/>
              <w:right w:val="nil"/>
            </w:tcBorders>
            <w:shd w:val="clear" w:color="auto" w:fill="auto"/>
            <w:vAlign w:val="center"/>
            <w:hideMark/>
          </w:tcPr>
          <w:p w14:paraId="299B7214"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-0.1182**</w:t>
            </w:r>
          </w:p>
        </w:tc>
        <w:tc>
          <w:tcPr>
            <w:tcW w:w="1300" w:type="dxa"/>
            <w:tcBorders>
              <w:top w:val="nil"/>
              <w:left w:val="nil"/>
              <w:bottom w:val="nil"/>
              <w:right w:val="nil"/>
            </w:tcBorders>
            <w:shd w:val="clear" w:color="auto" w:fill="auto"/>
            <w:vAlign w:val="center"/>
            <w:hideMark/>
          </w:tcPr>
          <w:p w14:paraId="4B743877"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-0.1240**</w:t>
            </w:r>
          </w:p>
        </w:tc>
      </w:tr>
      <w:tr w:rsidR="000E3A94" w:rsidRPr="001E0489" w14:paraId="10A3491E" w14:textId="77777777" w:rsidTr="00AD715B">
        <w:trPr>
          <w:trHeight w:val="340"/>
        </w:trPr>
        <w:tc>
          <w:tcPr>
            <w:tcW w:w="2180" w:type="dxa"/>
            <w:tcBorders>
              <w:top w:val="nil"/>
              <w:left w:val="nil"/>
              <w:bottom w:val="nil"/>
              <w:right w:val="nil"/>
            </w:tcBorders>
            <w:shd w:val="clear" w:color="auto" w:fill="auto"/>
            <w:vAlign w:val="center"/>
            <w:hideMark/>
          </w:tcPr>
          <w:p w14:paraId="56BE6F99" w14:textId="77777777" w:rsidR="000E3A94" w:rsidRPr="001E0489" w:rsidRDefault="000E3A94" w:rsidP="00AD715B">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62CC2655"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(0.0507)</w:t>
            </w:r>
          </w:p>
        </w:tc>
        <w:tc>
          <w:tcPr>
            <w:tcW w:w="1300" w:type="dxa"/>
            <w:tcBorders>
              <w:top w:val="nil"/>
              <w:left w:val="nil"/>
              <w:bottom w:val="nil"/>
              <w:right w:val="nil"/>
            </w:tcBorders>
            <w:shd w:val="clear" w:color="auto" w:fill="auto"/>
            <w:vAlign w:val="center"/>
            <w:hideMark/>
          </w:tcPr>
          <w:p w14:paraId="4CE77E58"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(0.0507)</w:t>
            </w:r>
          </w:p>
        </w:tc>
        <w:tc>
          <w:tcPr>
            <w:tcW w:w="1300" w:type="dxa"/>
            <w:tcBorders>
              <w:top w:val="nil"/>
              <w:left w:val="nil"/>
              <w:bottom w:val="nil"/>
              <w:right w:val="nil"/>
            </w:tcBorders>
            <w:shd w:val="clear" w:color="auto" w:fill="auto"/>
            <w:vAlign w:val="center"/>
            <w:hideMark/>
          </w:tcPr>
          <w:p w14:paraId="67E6CC49"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(0.0509)</w:t>
            </w:r>
          </w:p>
        </w:tc>
        <w:tc>
          <w:tcPr>
            <w:tcW w:w="1300" w:type="dxa"/>
            <w:tcBorders>
              <w:top w:val="nil"/>
              <w:left w:val="nil"/>
              <w:bottom w:val="nil"/>
              <w:right w:val="nil"/>
            </w:tcBorders>
            <w:shd w:val="clear" w:color="auto" w:fill="auto"/>
            <w:vAlign w:val="center"/>
            <w:hideMark/>
          </w:tcPr>
          <w:p w14:paraId="1C37EFF4"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(0.0507)</w:t>
            </w:r>
          </w:p>
        </w:tc>
        <w:tc>
          <w:tcPr>
            <w:tcW w:w="1300" w:type="dxa"/>
            <w:tcBorders>
              <w:top w:val="nil"/>
              <w:left w:val="nil"/>
              <w:bottom w:val="nil"/>
              <w:right w:val="nil"/>
            </w:tcBorders>
            <w:shd w:val="clear" w:color="auto" w:fill="auto"/>
            <w:vAlign w:val="center"/>
            <w:hideMark/>
          </w:tcPr>
          <w:p w14:paraId="28FD188B"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(0.0510)</w:t>
            </w:r>
          </w:p>
        </w:tc>
      </w:tr>
      <w:tr w:rsidR="000E3A94" w:rsidRPr="001E0489" w14:paraId="3B0AAC73" w14:textId="77777777" w:rsidTr="00AD715B">
        <w:trPr>
          <w:trHeight w:val="340"/>
        </w:trPr>
        <w:tc>
          <w:tcPr>
            <w:tcW w:w="2180" w:type="dxa"/>
            <w:tcBorders>
              <w:top w:val="nil"/>
              <w:left w:val="nil"/>
              <w:bottom w:val="nil"/>
              <w:right w:val="nil"/>
            </w:tcBorders>
            <w:shd w:val="clear" w:color="auto" w:fill="auto"/>
            <w:vAlign w:val="center"/>
            <w:hideMark/>
          </w:tcPr>
          <w:p w14:paraId="6338B559" w14:textId="77777777" w:rsidR="000E3A94" w:rsidRPr="001E0489" w:rsidRDefault="000E3A94" w:rsidP="00AD715B">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Age</w:t>
            </w:r>
          </w:p>
        </w:tc>
        <w:tc>
          <w:tcPr>
            <w:tcW w:w="1300" w:type="dxa"/>
            <w:tcBorders>
              <w:top w:val="nil"/>
              <w:left w:val="nil"/>
              <w:bottom w:val="nil"/>
              <w:right w:val="nil"/>
            </w:tcBorders>
            <w:shd w:val="clear" w:color="auto" w:fill="auto"/>
            <w:vAlign w:val="center"/>
            <w:hideMark/>
          </w:tcPr>
          <w:p w14:paraId="1192130B"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-0.0934*</w:t>
            </w:r>
          </w:p>
        </w:tc>
        <w:tc>
          <w:tcPr>
            <w:tcW w:w="1300" w:type="dxa"/>
            <w:tcBorders>
              <w:top w:val="nil"/>
              <w:left w:val="nil"/>
              <w:bottom w:val="nil"/>
              <w:right w:val="nil"/>
            </w:tcBorders>
            <w:shd w:val="clear" w:color="auto" w:fill="auto"/>
            <w:vAlign w:val="center"/>
            <w:hideMark/>
          </w:tcPr>
          <w:p w14:paraId="2BF13C34"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-0.0709</w:t>
            </w:r>
          </w:p>
        </w:tc>
        <w:tc>
          <w:tcPr>
            <w:tcW w:w="1300" w:type="dxa"/>
            <w:tcBorders>
              <w:top w:val="nil"/>
              <w:left w:val="nil"/>
              <w:bottom w:val="nil"/>
              <w:right w:val="nil"/>
            </w:tcBorders>
            <w:shd w:val="clear" w:color="auto" w:fill="auto"/>
            <w:vAlign w:val="center"/>
            <w:hideMark/>
          </w:tcPr>
          <w:p w14:paraId="609F5B00"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-0.0960*</w:t>
            </w:r>
          </w:p>
        </w:tc>
        <w:tc>
          <w:tcPr>
            <w:tcW w:w="1300" w:type="dxa"/>
            <w:tcBorders>
              <w:top w:val="nil"/>
              <w:left w:val="nil"/>
              <w:bottom w:val="nil"/>
              <w:right w:val="nil"/>
            </w:tcBorders>
            <w:shd w:val="clear" w:color="auto" w:fill="auto"/>
            <w:vAlign w:val="center"/>
            <w:hideMark/>
          </w:tcPr>
          <w:p w14:paraId="5C72ED1C"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-0.1007**</w:t>
            </w:r>
          </w:p>
        </w:tc>
        <w:tc>
          <w:tcPr>
            <w:tcW w:w="1300" w:type="dxa"/>
            <w:tcBorders>
              <w:top w:val="nil"/>
              <w:left w:val="nil"/>
              <w:bottom w:val="nil"/>
              <w:right w:val="nil"/>
            </w:tcBorders>
            <w:shd w:val="clear" w:color="auto" w:fill="auto"/>
            <w:vAlign w:val="center"/>
            <w:hideMark/>
          </w:tcPr>
          <w:p w14:paraId="3FFF2A68"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-0.0794</w:t>
            </w:r>
          </w:p>
        </w:tc>
      </w:tr>
      <w:tr w:rsidR="000E3A94" w:rsidRPr="001E0489" w14:paraId="0D338509" w14:textId="77777777" w:rsidTr="00AD715B">
        <w:trPr>
          <w:trHeight w:val="340"/>
        </w:trPr>
        <w:tc>
          <w:tcPr>
            <w:tcW w:w="2180" w:type="dxa"/>
            <w:tcBorders>
              <w:top w:val="nil"/>
              <w:left w:val="nil"/>
              <w:bottom w:val="nil"/>
              <w:right w:val="nil"/>
            </w:tcBorders>
            <w:shd w:val="clear" w:color="auto" w:fill="auto"/>
            <w:vAlign w:val="center"/>
            <w:hideMark/>
          </w:tcPr>
          <w:p w14:paraId="23869B5C" w14:textId="77777777" w:rsidR="000E3A94" w:rsidRPr="001E0489" w:rsidRDefault="000E3A94" w:rsidP="00AD715B">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7E02DB41"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(0.0498)</w:t>
            </w:r>
          </w:p>
        </w:tc>
        <w:tc>
          <w:tcPr>
            <w:tcW w:w="1300" w:type="dxa"/>
            <w:tcBorders>
              <w:top w:val="nil"/>
              <w:left w:val="nil"/>
              <w:bottom w:val="nil"/>
              <w:right w:val="nil"/>
            </w:tcBorders>
            <w:shd w:val="clear" w:color="auto" w:fill="auto"/>
            <w:vAlign w:val="center"/>
            <w:hideMark/>
          </w:tcPr>
          <w:p w14:paraId="4EA24DB7"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(0.0499)</w:t>
            </w:r>
          </w:p>
        </w:tc>
        <w:tc>
          <w:tcPr>
            <w:tcW w:w="1300" w:type="dxa"/>
            <w:tcBorders>
              <w:top w:val="nil"/>
              <w:left w:val="nil"/>
              <w:bottom w:val="nil"/>
              <w:right w:val="nil"/>
            </w:tcBorders>
            <w:shd w:val="clear" w:color="auto" w:fill="auto"/>
            <w:vAlign w:val="center"/>
            <w:hideMark/>
          </w:tcPr>
          <w:p w14:paraId="438C3E1F"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(0.0501)</w:t>
            </w:r>
          </w:p>
        </w:tc>
        <w:tc>
          <w:tcPr>
            <w:tcW w:w="1300" w:type="dxa"/>
            <w:tcBorders>
              <w:top w:val="nil"/>
              <w:left w:val="nil"/>
              <w:bottom w:val="nil"/>
              <w:right w:val="nil"/>
            </w:tcBorders>
            <w:shd w:val="clear" w:color="auto" w:fill="auto"/>
            <w:vAlign w:val="center"/>
            <w:hideMark/>
          </w:tcPr>
          <w:p w14:paraId="76380087"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(0.0499)</w:t>
            </w:r>
          </w:p>
        </w:tc>
        <w:tc>
          <w:tcPr>
            <w:tcW w:w="1300" w:type="dxa"/>
            <w:tcBorders>
              <w:top w:val="nil"/>
              <w:left w:val="nil"/>
              <w:bottom w:val="nil"/>
              <w:right w:val="nil"/>
            </w:tcBorders>
            <w:shd w:val="clear" w:color="auto" w:fill="auto"/>
            <w:vAlign w:val="center"/>
            <w:hideMark/>
          </w:tcPr>
          <w:p w14:paraId="5D793001"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(0.0501)</w:t>
            </w:r>
          </w:p>
        </w:tc>
      </w:tr>
      <w:tr w:rsidR="000E3A94" w:rsidRPr="001E0489" w14:paraId="3FCE365F" w14:textId="77777777" w:rsidTr="00AD715B">
        <w:trPr>
          <w:trHeight w:val="340"/>
        </w:trPr>
        <w:tc>
          <w:tcPr>
            <w:tcW w:w="2180" w:type="dxa"/>
            <w:tcBorders>
              <w:top w:val="nil"/>
              <w:left w:val="nil"/>
              <w:bottom w:val="nil"/>
              <w:right w:val="nil"/>
            </w:tcBorders>
            <w:shd w:val="clear" w:color="auto" w:fill="auto"/>
            <w:vAlign w:val="center"/>
            <w:hideMark/>
          </w:tcPr>
          <w:p w14:paraId="0C83689D" w14:textId="77777777" w:rsidR="000E3A94" w:rsidRPr="001E0489" w:rsidRDefault="000E3A94" w:rsidP="00AD715B">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Constant</w:t>
            </w:r>
          </w:p>
        </w:tc>
        <w:tc>
          <w:tcPr>
            <w:tcW w:w="1300" w:type="dxa"/>
            <w:tcBorders>
              <w:top w:val="nil"/>
              <w:left w:val="nil"/>
              <w:bottom w:val="nil"/>
              <w:right w:val="nil"/>
            </w:tcBorders>
            <w:shd w:val="clear" w:color="auto" w:fill="auto"/>
            <w:vAlign w:val="center"/>
            <w:hideMark/>
          </w:tcPr>
          <w:p w14:paraId="2851074F"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4.8288***</w:t>
            </w:r>
          </w:p>
        </w:tc>
        <w:tc>
          <w:tcPr>
            <w:tcW w:w="1300" w:type="dxa"/>
            <w:tcBorders>
              <w:top w:val="nil"/>
              <w:left w:val="nil"/>
              <w:bottom w:val="nil"/>
              <w:right w:val="nil"/>
            </w:tcBorders>
            <w:shd w:val="clear" w:color="auto" w:fill="auto"/>
            <w:vAlign w:val="center"/>
            <w:hideMark/>
          </w:tcPr>
          <w:p w14:paraId="479224FC"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5.0480***</w:t>
            </w:r>
          </w:p>
        </w:tc>
        <w:tc>
          <w:tcPr>
            <w:tcW w:w="1300" w:type="dxa"/>
            <w:tcBorders>
              <w:top w:val="nil"/>
              <w:left w:val="nil"/>
              <w:bottom w:val="nil"/>
              <w:right w:val="nil"/>
            </w:tcBorders>
            <w:shd w:val="clear" w:color="auto" w:fill="auto"/>
            <w:vAlign w:val="center"/>
            <w:hideMark/>
          </w:tcPr>
          <w:p w14:paraId="4CA1B5BB"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5.2120***</w:t>
            </w:r>
          </w:p>
        </w:tc>
        <w:tc>
          <w:tcPr>
            <w:tcW w:w="1300" w:type="dxa"/>
            <w:tcBorders>
              <w:top w:val="nil"/>
              <w:left w:val="nil"/>
              <w:bottom w:val="nil"/>
              <w:right w:val="nil"/>
            </w:tcBorders>
            <w:shd w:val="clear" w:color="auto" w:fill="auto"/>
            <w:vAlign w:val="center"/>
            <w:hideMark/>
          </w:tcPr>
          <w:p w14:paraId="72C5AD22"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5.0721***</w:t>
            </w:r>
          </w:p>
        </w:tc>
        <w:tc>
          <w:tcPr>
            <w:tcW w:w="1300" w:type="dxa"/>
            <w:tcBorders>
              <w:top w:val="nil"/>
              <w:left w:val="nil"/>
              <w:bottom w:val="nil"/>
              <w:right w:val="nil"/>
            </w:tcBorders>
            <w:shd w:val="clear" w:color="auto" w:fill="auto"/>
            <w:vAlign w:val="center"/>
            <w:hideMark/>
          </w:tcPr>
          <w:p w14:paraId="248FE844"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5.3712***</w:t>
            </w:r>
          </w:p>
        </w:tc>
      </w:tr>
      <w:tr w:rsidR="000E3A94" w:rsidRPr="001E0489" w14:paraId="7916469C" w14:textId="77777777" w:rsidTr="00AD715B">
        <w:trPr>
          <w:trHeight w:val="340"/>
        </w:trPr>
        <w:tc>
          <w:tcPr>
            <w:tcW w:w="2180" w:type="dxa"/>
            <w:tcBorders>
              <w:top w:val="nil"/>
              <w:left w:val="nil"/>
              <w:bottom w:val="nil"/>
              <w:right w:val="nil"/>
            </w:tcBorders>
            <w:shd w:val="clear" w:color="auto" w:fill="auto"/>
            <w:vAlign w:val="center"/>
            <w:hideMark/>
          </w:tcPr>
          <w:p w14:paraId="6508A0CB" w14:textId="77777777" w:rsidR="000E3A94" w:rsidRPr="001E0489" w:rsidRDefault="000E3A94" w:rsidP="00AD715B">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170D7420"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(0.1167)</w:t>
            </w:r>
          </w:p>
        </w:tc>
        <w:tc>
          <w:tcPr>
            <w:tcW w:w="1300" w:type="dxa"/>
            <w:tcBorders>
              <w:top w:val="nil"/>
              <w:left w:val="nil"/>
              <w:bottom w:val="nil"/>
              <w:right w:val="nil"/>
            </w:tcBorders>
            <w:shd w:val="clear" w:color="auto" w:fill="auto"/>
            <w:vAlign w:val="center"/>
            <w:hideMark/>
          </w:tcPr>
          <w:p w14:paraId="7A2CA412"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(0.1140)</w:t>
            </w:r>
          </w:p>
        </w:tc>
        <w:tc>
          <w:tcPr>
            <w:tcW w:w="1300" w:type="dxa"/>
            <w:tcBorders>
              <w:top w:val="nil"/>
              <w:left w:val="nil"/>
              <w:bottom w:val="nil"/>
              <w:right w:val="nil"/>
            </w:tcBorders>
            <w:shd w:val="clear" w:color="auto" w:fill="auto"/>
            <w:vAlign w:val="center"/>
            <w:hideMark/>
          </w:tcPr>
          <w:p w14:paraId="1D9F4C70"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(0.1137)</w:t>
            </w:r>
          </w:p>
        </w:tc>
        <w:tc>
          <w:tcPr>
            <w:tcW w:w="1300" w:type="dxa"/>
            <w:tcBorders>
              <w:top w:val="nil"/>
              <w:left w:val="nil"/>
              <w:bottom w:val="nil"/>
              <w:right w:val="nil"/>
            </w:tcBorders>
            <w:shd w:val="clear" w:color="auto" w:fill="auto"/>
            <w:vAlign w:val="center"/>
            <w:hideMark/>
          </w:tcPr>
          <w:p w14:paraId="03442EF2"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(0.1136)</w:t>
            </w:r>
          </w:p>
        </w:tc>
        <w:tc>
          <w:tcPr>
            <w:tcW w:w="1300" w:type="dxa"/>
            <w:tcBorders>
              <w:top w:val="nil"/>
              <w:left w:val="nil"/>
              <w:bottom w:val="nil"/>
              <w:right w:val="nil"/>
            </w:tcBorders>
            <w:shd w:val="clear" w:color="auto" w:fill="auto"/>
            <w:vAlign w:val="center"/>
            <w:hideMark/>
          </w:tcPr>
          <w:p w14:paraId="69C9AD9D"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(0.1123)</w:t>
            </w:r>
          </w:p>
        </w:tc>
      </w:tr>
      <w:tr w:rsidR="000E3A94" w:rsidRPr="001E0489" w14:paraId="2F509409" w14:textId="77777777" w:rsidTr="00AD715B">
        <w:trPr>
          <w:trHeight w:val="320"/>
        </w:trPr>
        <w:tc>
          <w:tcPr>
            <w:tcW w:w="2180" w:type="dxa"/>
            <w:tcBorders>
              <w:top w:val="nil"/>
              <w:left w:val="nil"/>
              <w:bottom w:val="nil"/>
              <w:right w:val="nil"/>
            </w:tcBorders>
            <w:shd w:val="clear" w:color="auto" w:fill="auto"/>
            <w:vAlign w:val="center"/>
            <w:hideMark/>
          </w:tcPr>
          <w:p w14:paraId="669FD910" w14:textId="77777777" w:rsidR="000E3A94" w:rsidRPr="001E0489" w:rsidRDefault="000E3A94" w:rsidP="00AD715B">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1D572789" w14:textId="77777777" w:rsidR="000E3A94" w:rsidRPr="001E0489" w:rsidRDefault="000E3A94" w:rsidP="00AD715B">
            <w:pPr>
              <w:suppressAutoHyphens w:val="0"/>
              <w:spacing w:line="240" w:lineRule="auto"/>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33947BC0"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625C4B71"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09C70DF6" w14:textId="77777777" w:rsidR="000E3A94" w:rsidRPr="001E0489" w:rsidRDefault="000E3A94" w:rsidP="00AD715B">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346F5D07" w14:textId="77777777" w:rsidR="000E3A94" w:rsidRPr="001E0489" w:rsidRDefault="000E3A94" w:rsidP="00AD715B">
            <w:pPr>
              <w:suppressAutoHyphens w:val="0"/>
              <w:spacing w:line="240" w:lineRule="auto"/>
              <w:jc w:val="center"/>
              <w:rPr>
                <w:rFonts w:eastAsia="Times New Roman"/>
                <w:sz w:val="20"/>
                <w:szCs w:val="20"/>
                <w:lang w:val="en-KR" w:eastAsia="ko-KR"/>
              </w:rPr>
            </w:pPr>
          </w:p>
        </w:tc>
      </w:tr>
      <w:tr w:rsidR="000E3A94" w:rsidRPr="001E0489" w14:paraId="7F544182" w14:textId="77777777" w:rsidTr="00AD715B">
        <w:trPr>
          <w:trHeight w:val="340"/>
        </w:trPr>
        <w:tc>
          <w:tcPr>
            <w:tcW w:w="2180" w:type="dxa"/>
            <w:tcBorders>
              <w:top w:val="nil"/>
              <w:left w:val="nil"/>
              <w:bottom w:val="nil"/>
              <w:right w:val="nil"/>
            </w:tcBorders>
            <w:shd w:val="clear" w:color="auto" w:fill="auto"/>
            <w:vAlign w:val="center"/>
            <w:hideMark/>
          </w:tcPr>
          <w:p w14:paraId="414BE37A" w14:textId="77777777" w:rsidR="000E3A94" w:rsidRPr="001E0489" w:rsidRDefault="000E3A94" w:rsidP="00AD715B">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Year</w:t>
            </w:r>
          </w:p>
        </w:tc>
        <w:tc>
          <w:tcPr>
            <w:tcW w:w="1300" w:type="dxa"/>
            <w:tcBorders>
              <w:top w:val="nil"/>
              <w:left w:val="nil"/>
              <w:bottom w:val="nil"/>
              <w:right w:val="nil"/>
            </w:tcBorders>
            <w:shd w:val="clear" w:color="auto" w:fill="auto"/>
            <w:vAlign w:val="center"/>
            <w:hideMark/>
          </w:tcPr>
          <w:p w14:paraId="1762A0BB"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3DBCDE81"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11B0DA06"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48A8E5E1"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1287D071"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r>
      <w:tr w:rsidR="000E3A94" w:rsidRPr="001E0489" w14:paraId="4E2F141A" w14:textId="77777777" w:rsidTr="00AD715B">
        <w:trPr>
          <w:trHeight w:val="340"/>
        </w:trPr>
        <w:tc>
          <w:tcPr>
            <w:tcW w:w="2180" w:type="dxa"/>
            <w:tcBorders>
              <w:top w:val="nil"/>
              <w:left w:val="nil"/>
              <w:bottom w:val="nil"/>
              <w:right w:val="nil"/>
            </w:tcBorders>
            <w:shd w:val="clear" w:color="auto" w:fill="auto"/>
            <w:vAlign w:val="center"/>
            <w:hideMark/>
          </w:tcPr>
          <w:p w14:paraId="5E621CD9" w14:textId="77777777" w:rsidR="000E3A94" w:rsidRPr="001E0489" w:rsidRDefault="000E3A94" w:rsidP="00AD715B">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Industry</w:t>
            </w:r>
          </w:p>
        </w:tc>
        <w:tc>
          <w:tcPr>
            <w:tcW w:w="1300" w:type="dxa"/>
            <w:tcBorders>
              <w:top w:val="nil"/>
              <w:left w:val="nil"/>
              <w:bottom w:val="nil"/>
              <w:right w:val="nil"/>
            </w:tcBorders>
            <w:shd w:val="clear" w:color="auto" w:fill="auto"/>
            <w:vAlign w:val="center"/>
            <w:hideMark/>
          </w:tcPr>
          <w:p w14:paraId="74F99E00"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272F58CB"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5E6E21B6"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42102546"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0072C653"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r>
      <w:tr w:rsidR="000E3A94" w:rsidRPr="001E0489" w14:paraId="5FCDBD55" w14:textId="77777777" w:rsidTr="00AD715B">
        <w:trPr>
          <w:trHeight w:val="340"/>
        </w:trPr>
        <w:tc>
          <w:tcPr>
            <w:tcW w:w="2180" w:type="dxa"/>
            <w:tcBorders>
              <w:top w:val="nil"/>
              <w:left w:val="nil"/>
              <w:bottom w:val="nil"/>
              <w:right w:val="nil"/>
            </w:tcBorders>
            <w:shd w:val="clear" w:color="auto" w:fill="auto"/>
            <w:vAlign w:val="center"/>
            <w:hideMark/>
          </w:tcPr>
          <w:p w14:paraId="7F22FAE4" w14:textId="77777777" w:rsidR="000E3A94" w:rsidRPr="001E0489" w:rsidRDefault="000E3A94" w:rsidP="00AD715B">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 xml:space="preserve">Year </w:t>
            </w:r>
            <w:r w:rsidRPr="001E0489">
              <w:rPr>
                <w:rFonts w:ascii="Symbol" w:eastAsia="Times New Roman" w:hAnsi="Symbol"/>
                <w:i/>
                <w:iCs/>
                <w:color w:val="000000"/>
                <w:lang w:val="en-GB" w:eastAsia="ko-KR"/>
              </w:rPr>
              <w:t>´</w:t>
            </w:r>
            <w:r w:rsidRPr="001E0489">
              <w:rPr>
                <w:rFonts w:eastAsia="Times New Roman"/>
                <w:i/>
                <w:iCs/>
                <w:color w:val="000000"/>
                <w:lang w:val="en-GB" w:eastAsia="ko-KR"/>
              </w:rPr>
              <w:t xml:space="preserve"> Industry</w:t>
            </w:r>
          </w:p>
        </w:tc>
        <w:tc>
          <w:tcPr>
            <w:tcW w:w="1300" w:type="dxa"/>
            <w:tcBorders>
              <w:top w:val="nil"/>
              <w:left w:val="nil"/>
              <w:bottom w:val="nil"/>
              <w:right w:val="nil"/>
            </w:tcBorders>
            <w:shd w:val="clear" w:color="auto" w:fill="auto"/>
            <w:vAlign w:val="center"/>
            <w:hideMark/>
          </w:tcPr>
          <w:p w14:paraId="7BFFF323"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251F7EBA"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444D6689"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68635BC0"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46C3C79D"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r>
      <w:tr w:rsidR="000E3A94" w:rsidRPr="001E0489" w14:paraId="4F1DC9DD" w14:textId="77777777" w:rsidTr="00AD715B">
        <w:trPr>
          <w:trHeight w:val="340"/>
        </w:trPr>
        <w:tc>
          <w:tcPr>
            <w:tcW w:w="2180" w:type="dxa"/>
            <w:tcBorders>
              <w:top w:val="nil"/>
              <w:left w:val="nil"/>
              <w:bottom w:val="nil"/>
              <w:right w:val="nil"/>
            </w:tcBorders>
            <w:shd w:val="clear" w:color="auto" w:fill="auto"/>
            <w:vAlign w:val="center"/>
            <w:hideMark/>
          </w:tcPr>
          <w:p w14:paraId="72E543E9" w14:textId="77777777" w:rsidR="000E3A94" w:rsidRPr="001E0489" w:rsidRDefault="000E3A94" w:rsidP="00AD715B">
            <w:pPr>
              <w:suppressAutoHyphens w:val="0"/>
              <w:spacing w:line="240" w:lineRule="auto"/>
              <w:rPr>
                <w:rFonts w:eastAsia="Times New Roman"/>
                <w:color w:val="000000"/>
                <w:lang w:val="en-KR" w:eastAsia="ko-KR"/>
              </w:rPr>
            </w:pPr>
            <w:r w:rsidRPr="001E0489">
              <w:rPr>
                <w:rFonts w:eastAsia="Times New Roman"/>
                <w:color w:val="000000"/>
                <w:lang w:val="en-GB" w:eastAsia="ko-KR"/>
              </w:rPr>
              <w:t>Observations</w:t>
            </w:r>
          </w:p>
        </w:tc>
        <w:tc>
          <w:tcPr>
            <w:tcW w:w="1300" w:type="dxa"/>
            <w:tcBorders>
              <w:top w:val="nil"/>
              <w:left w:val="nil"/>
              <w:bottom w:val="nil"/>
              <w:right w:val="nil"/>
            </w:tcBorders>
            <w:shd w:val="clear" w:color="auto" w:fill="auto"/>
            <w:vAlign w:val="center"/>
            <w:hideMark/>
          </w:tcPr>
          <w:p w14:paraId="606B4046"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20069</w:t>
            </w:r>
          </w:p>
        </w:tc>
        <w:tc>
          <w:tcPr>
            <w:tcW w:w="1300" w:type="dxa"/>
            <w:tcBorders>
              <w:top w:val="nil"/>
              <w:left w:val="nil"/>
              <w:bottom w:val="nil"/>
              <w:right w:val="nil"/>
            </w:tcBorders>
            <w:shd w:val="clear" w:color="auto" w:fill="auto"/>
            <w:vAlign w:val="center"/>
            <w:hideMark/>
          </w:tcPr>
          <w:p w14:paraId="0D8D9639"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20069</w:t>
            </w:r>
          </w:p>
        </w:tc>
        <w:tc>
          <w:tcPr>
            <w:tcW w:w="1300" w:type="dxa"/>
            <w:tcBorders>
              <w:top w:val="nil"/>
              <w:left w:val="nil"/>
              <w:bottom w:val="nil"/>
              <w:right w:val="nil"/>
            </w:tcBorders>
            <w:shd w:val="clear" w:color="auto" w:fill="auto"/>
            <w:vAlign w:val="center"/>
            <w:hideMark/>
          </w:tcPr>
          <w:p w14:paraId="0BC8C58D"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20069</w:t>
            </w:r>
          </w:p>
        </w:tc>
        <w:tc>
          <w:tcPr>
            <w:tcW w:w="1300" w:type="dxa"/>
            <w:tcBorders>
              <w:top w:val="nil"/>
              <w:left w:val="nil"/>
              <w:bottom w:val="nil"/>
              <w:right w:val="nil"/>
            </w:tcBorders>
            <w:shd w:val="clear" w:color="auto" w:fill="auto"/>
            <w:vAlign w:val="center"/>
            <w:hideMark/>
          </w:tcPr>
          <w:p w14:paraId="304F7895"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20069</w:t>
            </w:r>
          </w:p>
        </w:tc>
        <w:tc>
          <w:tcPr>
            <w:tcW w:w="1300" w:type="dxa"/>
            <w:tcBorders>
              <w:top w:val="nil"/>
              <w:left w:val="nil"/>
              <w:bottom w:val="nil"/>
              <w:right w:val="nil"/>
            </w:tcBorders>
            <w:shd w:val="clear" w:color="auto" w:fill="auto"/>
            <w:vAlign w:val="center"/>
            <w:hideMark/>
          </w:tcPr>
          <w:p w14:paraId="73D1B51B"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20069</w:t>
            </w:r>
          </w:p>
        </w:tc>
      </w:tr>
      <w:tr w:rsidR="000E3A94" w:rsidRPr="001E0489" w14:paraId="30A84D0A" w14:textId="77777777" w:rsidTr="00AD715B">
        <w:trPr>
          <w:trHeight w:val="340"/>
        </w:trPr>
        <w:tc>
          <w:tcPr>
            <w:tcW w:w="2180" w:type="dxa"/>
            <w:tcBorders>
              <w:top w:val="nil"/>
              <w:left w:val="nil"/>
              <w:bottom w:val="nil"/>
              <w:right w:val="nil"/>
            </w:tcBorders>
            <w:shd w:val="clear" w:color="auto" w:fill="auto"/>
            <w:vAlign w:val="center"/>
            <w:hideMark/>
          </w:tcPr>
          <w:p w14:paraId="44D60345" w14:textId="77777777" w:rsidR="000E3A94" w:rsidRPr="001E0489" w:rsidRDefault="000E3A94" w:rsidP="00AD715B">
            <w:pPr>
              <w:suppressAutoHyphens w:val="0"/>
              <w:spacing w:line="240" w:lineRule="auto"/>
              <w:rPr>
                <w:rFonts w:eastAsia="Times New Roman"/>
                <w:color w:val="000000"/>
                <w:lang w:val="en-KR" w:eastAsia="ko-KR"/>
              </w:rPr>
            </w:pPr>
            <w:r w:rsidRPr="001E0489">
              <w:rPr>
                <w:rFonts w:eastAsia="Times New Roman"/>
                <w:color w:val="000000"/>
                <w:lang w:val="en-GB" w:eastAsia="ko-KR"/>
              </w:rPr>
              <w:t>R-squared</w:t>
            </w:r>
          </w:p>
        </w:tc>
        <w:tc>
          <w:tcPr>
            <w:tcW w:w="1300" w:type="dxa"/>
            <w:tcBorders>
              <w:top w:val="nil"/>
              <w:left w:val="nil"/>
              <w:bottom w:val="nil"/>
              <w:right w:val="nil"/>
            </w:tcBorders>
            <w:shd w:val="clear" w:color="auto" w:fill="auto"/>
            <w:vAlign w:val="center"/>
            <w:hideMark/>
          </w:tcPr>
          <w:p w14:paraId="61483BB1"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0.327</w:t>
            </w:r>
          </w:p>
        </w:tc>
        <w:tc>
          <w:tcPr>
            <w:tcW w:w="1300" w:type="dxa"/>
            <w:tcBorders>
              <w:top w:val="nil"/>
              <w:left w:val="nil"/>
              <w:bottom w:val="nil"/>
              <w:right w:val="nil"/>
            </w:tcBorders>
            <w:shd w:val="clear" w:color="auto" w:fill="auto"/>
            <w:vAlign w:val="center"/>
            <w:hideMark/>
          </w:tcPr>
          <w:p w14:paraId="2B26D609"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0.325</w:t>
            </w:r>
          </w:p>
        </w:tc>
        <w:tc>
          <w:tcPr>
            <w:tcW w:w="1300" w:type="dxa"/>
            <w:tcBorders>
              <w:top w:val="nil"/>
              <w:left w:val="nil"/>
              <w:bottom w:val="nil"/>
              <w:right w:val="nil"/>
            </w:tcBorders>
            <w:shd w:val="clear" w:color="auto" w:fill="auto"/>
            <w:vAlign w:val="center"/>
            <w:hideMark/>
          </w:tcPr>
          <w:p w14:paraId="0BEDDDDB"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0.321</w:t>
            </w:r>
          </w:p>
        </w:tc>
        <w:tc>
          <w:tcPr>
            <w:tcW w:w="1300" w:type="dxa"/>
            <w:tcBorders>
              <w:top w:val="nil"/>
              <w:left w:val="nil"/>
              <w:bottom w:val="nil"/>
              <w:right w:val="nil"/>
            </w:tcBorders>
            <w:shd w:val="clear" w:color="auto" w:fill="auto"/>
            <w:vAlign w:val="center"/>
            <w:hideMark/>
          </w:tcPr>
          <w:p w14:paraId="3F64D215"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0.325</w:t>
            </w:r>
          </w:p>
        </w:tc>
        <w:tc>
          <w:tcPr>
            <w:tcW w:w="1300" w:type="dxa"/>
            <w:tcBorders>
              <w:top w:val="nil"/>
              <w:left w:val="nil"/>
              <w:bottom w:val="nil"/>
              <w:right w:val="nil"/>
            </w:tcBorders>
            <w:shd w:val="clear" w:color="auto" w:fill="auto"/>
            <w:vAlign w:val="center"/>
            <w:hideMark/>
          </w:tcPr>
          <w:p w14:paraId="19DC39F6"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0.319</w:t>
            </w:r>
          </w:p>
        </w:tc>
      </w:tr>
      <w:tr w:rsidR="000E3A94" w:rsidRPr="001E0489" w14:paraId="6F2C68D1" w14:textId="77777777" w:rsidTr="00AD715B">
        <w:trPr>
          <w:trHeight w:val="340"/>
        </w:trPr>
        <w:tc>
          <w:tcPr>
            <w:tcW w:w="2180" w:type="dxa"/>
            <w:tcBorders>
              <w:top w:val="nil"/>
              <w:left w:val="nil"/>
              <w:bottom w:val="single" w:sz="4" w:space="0" w:color="auto"/>
              <w:right w:val="nil"/>
            </w:tcBorders>
            <w:shd w:val="clear" w:color="auto" w:fill="auto"/>
            <w:vAlign w:val="center"/>
            <w:hideMark/>
          </w:tcPr>
          <w:p w14:paraId="43A034BA" w14:textId="77777777" w:rsidR="000E3A94" w:rsidRPr="001E0489" w:rsidRDefault="000E3A94" w:rsidP="00AD715B">
            <w:pPr>
              <w:suppressAutoHyphens w:val="0"/>
              <w:spacing w:line="240" w:lineRule="auto"/>
              <w:rPr>
                <w:rFonts w:eastAsia="Times New Roman"/>
                <w:color w:val="000000"/>
                <w:lang w:val="en-KR" w:eastAsia="ko-KR"/>
              </w:rPr>
            </w:pPr>
            <w:r w:rsidRPr="001E0489">
              <w:rPr>
                <w:rFonts w:eastAsia="Times New Roman"/>
                <w:color w:val="000000"/>
                <w:lang w:val="en-GB" w:eastAsia="ko-KR"/>
              </w:rPr>
              <w:t>Adjusted R-squared</w:t>
            </w:r>
          </w:p>
        </w:tc>
        <w:tc>
          <w:tcPr>
            <w:tcW w:w="1300" w:type="dxa"/>
            <w:tcBorders>
              <w:top w:val="nil"/>
              <w:left w:val="nil"/>
              <w:bottom w:val="single" w:sz="4" w:space="0" w:color="auto"/>
              <w:right w:val="nil"/>
            </w:tcBorders>
            <w:shd w:val="clear" w:color="auto" w:fill="auto"/>
            <w:vAlign w:val="center"/>
            <w:hideMark/>
          </w:tcPr>
          <w:p w14:paraId="741390F8"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0.289</w:t>
            </w:r>
          </w:p>
        </w:tc>
        <w:tc>
          <w:tcPr>
            <w:tcW w:w="1300" w:type="dxa"/>
            <w:tcBorders>
              <w:top w:val="nil"/>
              <w:left w:val="nil"/>
              <w:bottom w:val="single" w:sz="4" w:space="0" w:color="auto"/>
              <w:right w:val="nil"/>
            </w:tcBorders>
            <w:shd w:val="clear" w:color="auto" w:fill="auto"/>
            <w:vAlign w:val="center"/>
            <w:hideMark/>
          </w:tcPr>
          <w:p w14:paraId="2DAD6C49"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0.289</w:t>
            </w:r>
          </w:p>
        </w:tc>
        <w:tc>
          <w:tcPr>
            <w:tcW w:w="1300" w:type="dxa"/>
            <w:tcBorders>
              <w:top w:val="nil"/>
              <w:left w:val="nil"/>
              <w:bottom w:val="single" w:sz="4" w:space="0" w:color="auto"/>
              <w:right w:val="nil"/>
            </w:tcBorders>
            <w:shd w:val="clear" w:color="auto" w:fill="auto"/>
            <w:vAlign w:val="center"/>
            <w:hideMark/>
          </w:tcPr>
          <w:p w14:paraId="711FFF76"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0.289</w:t>
            </w:r>
          </w:p>
        </w:tc>
        <w:tc>
          <w:tcPr>
            <w:tcW w:w="1300" w:type="dxa"/>
            <w:tcBorders>
              <w:top w:val="nil"/>
              <w:left w:val="nil"/>
              <w:bottom w:val="single" w:sz="4" w:space="0" w:color="auto"/>
              <w:right w:val="nil"/>
            </w:tcBorders>
            <w:shd w:val="clear" w:color="auto" w:fill="auto"/>
            <w:vAlign w:val="center"/>
            <w:hideMark/>
          </w:tcPr>
          <w:p w14:paraId="739854FD"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0.289</w:t>
            </w:r>
          </w:p>
        </w:tc>
        <w:tc>
          <w:tcPr>
            <w:tcW w:w="1300" w:type="dxa"/>
            <w:tcBorders>
              <w:top w:val="nil"/>
              <w:left w:val="nil"/>
              <w:bottom w:val="single" w:sz="4" w:space="0" w:color="auto"/>
              <w:right w:val="nil"/>
            </w:tcBorders>
            <w:shd w:val="clear" w:color="auto" w:fill="auto"/>
            <w:vAlign w:val="center"/>
            <w:hideMark/>
          </w:tcPr>
          <w:p w14:paraId="3601692B" w14:textId="77777777" w:rsidR="000E3A94" w:rsidRPr="001E0489" w:rsidRDefault="000E3A94" w:rsidP="00AD715B">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0.289</w:t>
            </w:r>
          </w:p>
        </w:tc>
      </w:tr>
    </w:tbl>
    <w:p w14:paraId="15BDFDBC" w14:textId="77777777" w:rsidR="000E3A94" w:rsidRPr="00172AD7" w:rsidRDefault="000E3A94" w:rsidP="000E3A94">
      <w:pPr>
        <w:rPr>
          <w:i/>
          <w:iCs/>
          <w:color w:val="000000" w:themeColor="text1"/>
        </w:rPr>
      </w:pPr>
      <w:r w:rsidRPr="00172AD7">
        <w:rPr>
          <w:i/>
          <w:iCs/>
          <w:color w:val="000000" w:themeColor="text1"/>
        </w:rPr>
        <w:t xml:space="preserve">Note. </w:t>
      </w:r>
      <w:r w:rsidRPr="00172AD7">
        <w:rPr>
          <w:color w:val="000000" w:themeColor="text1"/>
        </w:rPr>
        <w:t>Standard errors in parentheses</w:t>
      </w:r>
      <w:r>
        <w:rPr>
          <w:color w:val="000000" w:themeColor="text1"/>
        </w:rPr>
        <w:t xml:space="preserve">. </w:t>
      </w:r>
      <w:r>
        <w:rPr>
          <w:color w:val="000000" w:themeColor="text1"/>
        </w:rPr>
        <w:br/>
      </w:r>
      <w:r w:rsidRPr="00172AD7">
        <w:rPr>
          <w:color w:val="000000" w:themeColor="text1"/>
        </w:rPr>
        <w:t>*** p&lt;0.01, ** p&lt;0.05, * p&lt;0.1</w:t>
      </w:r>
    </w:p>
    <w:p w14:paraId="34BBC6AD" w14:textId="77777777" w:rsidR="000E3A94" w:rsidRDefault="000E3A94" w:rsidP="000E3A94">
      <w:pPr>
        <w:rPr>
          <w:b/>
          <w:bCs/>
          <w:color w:val="000000" w:themeColor="text1"/>
        </w:rPr>
      </w:pPr>
    </w:p>
    <w:p w14:paraId="22C1A93A" w14:textId="77777777" w:rsidR="000E3A94" w:rsidRDefault="000E3A94" w:rsidP="000E3A94">
      <w:pPr>
        <w:rPr>
          <w:b/>
          <w:bCs/>
          <w:color w:val="000000" w:themeColor="text1"/>
        </w:rPr>
        <w:sectPr w:rsidR="000E3A94" w:rsidSect="000E3A94">
          <w:pgSz w:w="12240" w:h="15840" w:code="1"/>
          <w:pgMar w:top="1440" w:right="1440" w:bottom="1440" w:left="1440" w:header="720" w:footer="720" w:gutter="0"/>
          <w:pgNumType w:start="1"/>
          <w:cols w:space="720"/>
          <w:docGrid w:linePitch="360"/>
        </w:sectPr>
      </w:pPr>
    </w:p>
    <w:p w14:paraId="7A85C965" w14:textId="77777777" w:rsidR="000E3A94" w:rsidRDefault="000E3A94" w:rsidP="000E3A94">
      <w:pPr>
        <w:rPr>
          <w:b/>
          <w:bCs/>
          <w:color w:val="000000" w:themeColor="text1"/>
        </w:rPr>
      </w:pPr>
      <w:r w:rsidRPr="00172AD7">
        <w:rPr>
          <w:b/>
          <w:bCs/>
          <w:color w:val="000000" w:themeColor="text1"/>
        </w:rPr>
        <w:lastRenderedPageBreak/>
        <w:t xml:space="preserve">Table </w:t>
      </w:r>
      <w:r>
        <w:rPr>
          <w:b/>
          <w:bCs/>
          <w:color w:val="000000" w:themeColor="text1"/>
        </w:rPr>
        <w:t>6</w:t>
      </w:r>
    </w:p>
    <w:p w14:paraId="798C11C9" w14:textId="77777777" w:rsidR="000E3A94" w:rsidRPr="00F37A73" w:rsidRDefault="000E3A94" w:rsidP="000E3A94">
      <w:pPr>
        <w:rPr>
          <w:i/>
          <w:iCs/>
          <w:color w:val="000000" w:themeColor="text1"/>
        </w:rPr>
      </w:pPr>
      <w:r w:rsidRPr="00F37A73">
        <w:rPr>
          <w:i/>
          <w:iCs/>
          <w:color w:val="000000" w:themeColor="text1"/>
        </w:rPr>
        <w:t>Robust Test</w:t>
      </w:r>
    </w:p>
    <w:tbl>
      <w:tblPr>
        <w:tblW w:w="5000" w:type="pct"/>
        <w:tblLook w:val="04A0" w:firstRow="1" w:lastRow="0" w:firstColumn="1" w:lastColumn="0" w:noHBand="0" w:noVBand="1"/>
      </w:tblPr>
      <w:tblGrid>
        <w:gridCol w:w="3831"/>
        <w:gridCol w:w="1915"/>
        <w:gridCol w:w="1915"/>
        <w:gridCol w:w="1915"/>
      </w:tblGrid>
      <w:tr w:rsidR="000E3A94" w:rsidRPr="00594376" w14:paraId="298446D0" w14:textId="77777777" w:rsidTr="00AD715B">
        <w:trPr>
          <w:trHeight w:val="340"/>
        </w:trPr>
        <w:tc>
          <w:tcPr>
            <w:tcW w:w="2000" w:type="pct"/>
            <w:tcBorders>
              <w:top w:val="single" w:sz="4" w:space="0" w:color="auto"/>
              <w:left w:val="nil"/>
              <w:bottom w:val="nil"/>
              <w:right w:val="nil"/>
            </w:tcBorders>
            <w:shd w:val="clear" w:color="auto" w:fill="auto"/>
            <w:vAlign w:val="center"/>
            <w:hideMark/>
          </w:tcPr>
          <w:p w14:paraId="0D935405" w14:textId="77777777" w:rsidR="000E3A94" w:rsidRPr="00594376" w:rsidRDefault="000E3A94" w:rsidP="00AD715B">
            <w:pPr>
              <w:suppressAutoHyphens w:val="0"/>
              <w:spacing w:line="240" w:lineRule="auto"/>
              <w:rPr>
                <w:rFonts w:eastAsia="Times New Roman"/>
                <w:color w:val="000000"/>
                <w:lang w:val="en-KR" w:eastAsia="ko-KR"/>
              </w:rPr>
            </w:pPr>
            <w:r w:rsidRPr="00594376">
              <w:rPr>
                <w:rFonts w:eastAsia="Times New Roman"/>
                <w:color w:val="000000"/>
                <w:lang w:val="en-GB" w:eastAsia="ko-KR"/>
              </w:rPr>
              <w:t> </w:t>
            </w:r>
          </w:p>
        </w:tc>
        <w:tc>
          <w:tcPr>
            <w:tcW w:w="1000" w:type="pct"/>
            <w:tcBorders>
              <w:top w:val="single" w:sz="4" w:space="0" w:color="auto"/>
              <w:left w:val="nil"/>
              <w:bottom w:val="nil"/>
              <w:right w:val="nil"/>
            </w:tcBorders>
            <w:shd w:val="clear" w:color="auto" w:fill="auto"/>
            <w:vAlign w:val="center"/>
            <w:hideMark/>
          </w:tcPr>
          <w:p w14:paraId="680AEB00"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(1)</w:t>
            </w:r>
          </w:p>
        </w:tc>
        <w:tc>
          <w:tcPr>
            <w:tcW w:w="1000" w:type="pct"/>
            <w:tcBorders>
              <w:top w:val="single" w:sz="4" w:space="0" w:color="auto"/>
              <w:left w:val="nil"/>
              <w:bottom w:val="nil"/>
              <w:right w:val="nil"/>
            </w:tcBorders>
            <w:shd w:val="clear" w:color="auto" w:fill="auto"/>
            <w:vAlign w:val="center"/>
            <w:hideMark/>
          </w:tcPr>
          <w:p w14:paraId="05E65F22"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eastAsia="ko-KR"/>
              </w:rPr>
              <w:t>(2)</w:t>
            </w:r>
          </w:p>
        </w:tc>
        <w:tc>
          <w:tcPr>
            <w:tcW w:w="1000" w:type="pct"/>
            <w:tcBorders>
              <w:top w:val="single" w:sz="4" w:space="0" w:color="auto"/>
              <w:left w:val="nil"/>
              <w:bottom w:val="nil"/>
              <w:right w:val="nil"/>
            </w:tcBorders>
            <w:shd w:val="clear" w:color="auto" w:fill="auto"/>
            <w:vAlign w:val="center"/>
            <w:hideMark/>
          </w:tcPr>
          <w:p w14:paraId="71DC3FB0"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eastAsia="ko-KR"/>
              </w:rPr>
              <w:t>(3)</w:t>
            </w:r>
          </w:p>
        </w:tc>
      </w:tr>
      <w:tr w:rsidR="000E3A94" w:rsidRPr="00594376" w14:paraId="102A3B9F" w14:textId="77777777" w:rsidTr="00AD715B">
        <w:trPr>
          <w:trHeight w:val="340"/>
        </w:trPr>
        <w:tc>
          <w:tcPr>
            <w:tcW w:w="2000" w:type="pct"/>
            <w:tcBorders>
              <w:top w:val="nil"/>
              <w:left w:val="nil"/>
              <w:bottom w:val="single" w:sz="4" w:space="0" w:color="auto"/>
              <w:right w:val="nil"/>
            </w:tcBorders>
            <w:shd w:val="clear" w:color="auto" w:fill="auto"/>
            <w:vAlign w:val="center"/>
            <w:hideMark/>
          </w:tcPr>
          <w:p w14:paraId="529D676A"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VARIABLES</w:t>
            </w:r>
          </w:p>
        </w:tc>
        <w:tc>
          <w:tcPr>
            <w:tcW w:w="1000" w:type="pct"/>
            <w:tcBorders>
              <w:top w:val="nil"/>
              <w:left w:val="nil"/>
              <w:bottom w:val="single" w:sz="4" w:space="0" w:color="auto"/>
              <w:right w:val="nil"/>
            </w:tcBorders>
            <w:shd w:val="clear" w:color="auto" w:fill="auto"/>
            <w:vAlign w:val="center"/>
            <w:hideMark/>
          </w:tcPr>
          <w:p w14:paraId="7B951CC7" w14:textId="77777777" w:rsidR="000E3A94" w:rsidRPr="00594376" w:rsidRDefault="000E3A94" w:rsidP="00AD715B">
            <w:pPr>
              <w:suppressAutoHyphens w:val="0"/>
              <w:spacing w:line="240" w:lineRule="auto"/>
              <w:jc w:val="center"/>
              <w:rPr>
                <w:rFonts w:eastAsia="Times New Roman"/>
                <w:i/>
                <w:iCs/>
                <w:color w:val="000000"/>
                <w:lang w:val="en-KR" w:eastAsia="ko-KR"/>
              </w:rPr>
            </w:pPr>
            <w:proofErr w:type="spellStart"/>
            <w:r w:rsidRPr="00594376">
              <w:rPr>
                <w:rFonts w:eastAsia="Times New Roman"/>
                <w:i/>
                <w:iCs/>
                <w:color w:val="000000"/>
                <w:lang w:val="en-GB" w:eastAsia="ko-KR"/>
              </w:rPr>
              <w:t>Degreep</w:t>
            </w:r>
            <w:proofErr w:type="spellEnd"/>
          </w:p>
        </w:tc>
        <w:tc>
          <w:tcPr>
            <w:tcW w:w="1000" w:type="pct"/>
            <w:tcBorders>
              <w:top w:val="nil"/>
              <w:left w:val="nil"/>
              <w:bottom w:val="single" w:sz="4" w:space="0" w:color="auto"/>
              <w:right w:val="nil"/>
            </w:tcBorders>
            <w:shd w:val="clear" w:color="auto" w:fill="auto"/>
            <w:vAlign w:val="center"/>
            <w:hideMark/>
          </w:tcPr>
          <w:p w14:paraId="227E053E" w14:textId="77777777" w:rsidR="000E3A94" w:rsidRPr="00594376" w:rsidRDefault="000E3A94" w:rsidP="00AD715B">
            <w:pPr>
              <w:suppressAutoHyphens w:val="0"/>
              <w:spacing w:line="240" w:lineRule="auto"/>
              <w:jc w:val="center"/>
              <w:rPr>
                <w:rFonts w:eastAsia="Times New Roman"/>
                <w:i/>
                <w:iCs/>
                <w:color w:val="000000"/>
                <w:lang w:val="en-KR" w:eastAsia="ko-KR"/>
              </w:rPr>
            </w:pPr>
            <w:r w:rsidRPr="00594376">
              <w:rPr>
                <w:rFonts w:eastAsia="Times New Roman"/>
                <w:i/>
                <w:iCs/>
                <w:color w:val="000000"/>
                <w:lang w:val="en-GB" w:eastAsia="ko-KR"/>
              </w:rPr>
              <w:t>Degree</w:t>
            </w:r>
          </w:p>
        </w:tc>
        <w:tc>
          <w:tcPr>
            <w:tcW w:w="1000" w:type="pct"/>
            <w:tcBorders>
              <w:top w:val="nil"/>
              <w:left w:val="nil"/>
              <w:bottom w:val="single" w:sz="4" w:space="0" w:color="auto"/>
              <w:right w:val="nil"/>
            </w:tcBorders>
            <w:shd w:val="clear" w:color="auto" w:fill="auto"/>
            <w:vAlign w:val="center"/>
            <w:hideMark/>
          </w:tcPr>
          <w:p w14:paraId="579BD43E" w14:textId="77777777" w:rsidR="000E3A94" w:rsidRPr="00594376" w:rsidRDefault="000E3A94" w:rsidP="00AD715B">
            <w:pPr>
              <w:suppressAutoHyphens w:val="0"/>
              <w:spacing w:line="240" w:lineRule="auto"/>
              <w:jc w:val="center"/>
              <w:rPr>
                <w:rFonts w:eastAsia="Times New Roman"/>
                <w:i/>
                <w:iCs/>
                <w:color w:val="000000"/>
                <w:lang w:val="en-KR" w:eastAsia="ko-KR"/>
              </w:rPr>
            </w:pPr>
            <w:r w:rsidRPr="00594376">
              <w:rPr>
                <w:rFonts w:eastAsia="Times New Roman"/>
                <w:i/>
                <w:iCs/>
                <w:color w:val="000000"/>
                <w:lang w:val="en-GB" w:eastAsia="ko-KR"/>
              </w:rPr>
              <w:t>Degree</w:t>
            </w:r>
          </w:p>
        </w:tc>
      </w:tr>
      <w:tr w:rsidR="000E3A94" w:rsidRPr="00594376" w14:paraId="04E6CA10" w14:textId="77777777" w:rsidTr="00AD715B">
        <w:trPr>
          <w:trHeight w:val="340"/>
        </w:trPr>
        <w:tc>
          <w:tcPr>
            <w:tcW w:w="2000" w:type="pct"/>
            <w:tcBorders>
              <w:top w:val="nil"/>
              <w:left w:val="nil"/>
              <w:bottom w:val="nil"/>
              <w:right w:val="nil"/>
            </w:tcBorders>
            <w:shd w:val="clear" w:color="auto" w:fill="auto"/>
            <w:vAlign w:val="center"/>
            <w:hideMark/>
          </w:tcPr>
          <w:p w14:paraId="3F3E0838" w14:textId="77777777" w:rsidR="000E3A94" w:rsidRPr="00594376" w:rsidRDefault="000E3A94" w:rsidP="00AD715B">
            <w:pPr>
              <w:suppressAutoHyphens w:val="0"/>
              <w:spacing w:line="240" w:lineRule="auto"/>
              <w:rPr>
                <w:rFonts w:eastAsia="Times New Roman"/>
                <w:i/>
                <w:iCs/>
                <w:color w:val="000000"/>
                <w:lang w:val="en-KR" w:eastAsia="ko-KR"/>
              </w:rPr>
            </w:pPr>
            <w:r w:rsidRPr="00594376">
              <w:rPr>
                <w:rFonts w:eastAsia="Times New Roman"/>
                <w:i/>
                <w:iCs/>
                <w:color w:val="000000"/>
                <w:lang w:val="en-GB" w:eastAsia="ko-KR"/>
              </w:rPr>
              <w:t>Total</w:t>
            </w:r>
          </w:p>
        </w:tc>
        <w:tc>
          <w:tcPr>
            <w:tcW w:w="1000" w:type="pct"/>
            <w:tcBorders>
              <w:top w:val="nil"/>
              <w:left w:val="nil"/>
              <w:bottom w:val="nil"/>
              <w:right w:val="nil"/>
            </w:tcBorders>
            <w:shd w:val="clear" w:color="auto" w:fill="auto"/>
            <w:vAlign w:val="center"/>
            <w:hideMark/>
          </w:tcPr>
          <w:p w14:paraId="49CE34CB"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0.7464***</w:t>
            </w:r>
          </w:p>
        </w:tc>
        <w:tc>
          <w:tcPr>
            <w:tcW w:w="1000" w:type="pct"/>
            <w:tcBorders>
              <w:top w:val="nil"/>
              <w:left w:val="nil"/>
              <w:bottom w:val="nil"/>
              <w:right w:val="nil"/>
            </w:tcBorders>
            <w:shd w:val="clear" w:color="auto" w:fill="auto"/>
            <w:vAlign w:val="center"/>
            <w:hideMark/>
          </w:tcPr>
          <w:p w14:paraId="06CC3188"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81.5616***</w:t>
            </w:r>
          </w:p>
        </w:tc>
        <w:tc>
          <w:tcPr>
            <w:tcW w:w="1000" w:type="pct"/>
            <w:tcBorders>
              <w:top w:val="nil"/>
              <w:left w:val="nil"/>
              <w:bottom w:val="nil"/>
              <w:right w:val="nil"/>
            </w:tcBorders>
            <w:shd w:val="clear" w:color="auto" w:fill="auto"/>
            <w:vAlign w:val="center"/>
            <w:hideMark/>
          </w:tcPr>
          <w:p w14:paraId="6294E374" w14:textId="77777777" w:rsidR="000E3A94" w:rsidRPr="00594376" w:rsidRDefault="000E3A94" w:rsidP="00AD715B">
            <w:pPr>
              <w:suppressAutoHyphens w:val="0"/>
              <w:spacing w:line="240" w:lineRule="auto"/>
              <w:jc w:val="center"/>
              <w:rPr>
                <w:rFonts w:eastAsia="Times New Roman"/>
                <w:color w:val="000000"/>
                <w:lang w:val="en-KR" w:eastAsia="ko-KR"/>
              </w:rPr>
            </w:pPr>
          </w:p>
        </w:tc>
      </w:tr>
      <w:tr w:rsidR="000E3A94" w:rsidRPr="00594376" w14:paraId="4F027AA2" w14:textId="77777777" w:rsidTr="00AD715B">
        <w:trPr>
          <w:trHeight w:val="340"/>
        </w:trPr>
        <w:tc>
          <w:tcPr>
            <w:tcW w:w="2000" w:type="pct"/>
            <w:tcBorders>
              <w:top w:val="nil"/>
              <w:left w:val="nil"/>
              <w:bottom w:val="nil"/>
              <w:right w:val="nil"/>
            </w:tcBorders>
            <w:shd w:val="clear" w:color="auto" w:fill="auto"/>
            <w:vAlign w:val="center"/>
            <w:hideMark/>
          </w:tcPr>
          <w:p w14:paraId="24E27106" w14:textId="77777777" w:rsidR="000E3A94" w:rsidRPr="00594376" w:rsidRDefault="000E3A94" w:rsidP="00AD715B">
            <w:pPr>
              <w:suppressAutoHyphens w:val="0"/>
              <w:spacing w:line="240" w:lineRule="auto"/>
              <w:jc w:val="center"/>
              <w:rPr>
                <w:rFonts w:eastAsia="Times New Roman"/>
                <w:sz w:val="20"/>
                <w:szCs w:val="20"/>
                <w:lang w:val="en-KR" w:eastAsia="ko-KR"/>
              </w:rPr>
            </w:pPr>
          </w:p>
        </w:tc>
        <w:tc>
          <w:tcPr>
            <w:tcW w:w="1000" w:type="pct"/>
            <w:tcBorders>
              <w:top w:val="nil"/>
              <w:left w:val="nil"/>
              <w:bottom w:val="nil"/>
              <w:right w:val="nil"/>
            </w:tcBorders>
            <w:shd w:val="clear" w:color="auto" w:fill="auto"/>
            <w:vAlign w:val="center"/>
            <w:hideMark/>
          </w:tcPr>
          <w:p w14:paraId="1E16C946"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(0.0483)</w:t>
            </w:r>
          </w:p>
        </w:tc>
        <w:tc>
          <w:tcPr>
            <w:tcW w:w="1000" w:type="pct"/>
            <w:tcBorders>
              <w:top w:val="nil"/>
              <w:left w:val="nil"/>
              <w:bottom w:val="nil"/>
              <w:right w:val="nil"/>
            </w:tcBorders>
            <w:shd w:val="clear" w:color="auto" w:fill="auto"/>
            <w:vAlign w:val="center"/>
            <w:hideMark/>
          </w:tcPr>
          <w:p w14:paraId="6B3450F4"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(10.7431)</w:t>
            </w:r>
          </w:p>
        </w:tc>
        <w:tc>
          <w:tcPr>
            <w:tcW w:w="1000" w:type="pct"/>
            <w:tcBorders>
              <w:top w:val="nil"/>
              <w:left w:val="nil"/>
              <w:bottom w:val="nil"/>
              <w:right w:val="nil"/>
            </w:tcBorders>
            <w:shd w:val="clear" w:color="auto" w:fill="auto"/>
            <w:vAlign w:val="center"/>
            <w:hideMark/>
          </w:tcPr>
          <w:p w14:paraId="51128844" w14:textId="77777777" w:rsidR="000E3A94" w:rsidRPr="00594376" w:rsidRDefault="000E3A94" w:rsidP="00AD715B">
            <w:pPr>
              <w:suppressAutoHyphens w:val="0"/>
              <w:spacing w:line="240" w:lineRule="auto"/>
              <w:jc w:val="center"/>
              <w:rPr>
                <w:rFonts w:eastAsia="Times New Roman"/>
                <w:color w:val="000000"/>
                <w:lang w:val="en-KR" w:eastAsia="ko-KR"/>
              </w:rPr>
            </w:pPr>
          </w:p>
        </w:tc>
      </w:tr>
      <w:tr w:rsidR="000E3A94" w:rsidRPr="00594376" w14:paraId="7F5C4D95" w14:textId="77777777" w:rsidTr="00AD715B">
        <w:trPr>
          <w:trHeight w:val="340"/>
        </w:trPr>
        <w:tc>
          <w:tcPr>
            <w:tcW w:w="2000" w:type="pct"/>
            <w:tcBorders>
              <w:top w:val="nil"/>
              <w:left w:val="nil"/>
              <w:bottom w:val="nil"/>
              <w:right w:val="nil"/>
            </w:tcBorders>
            <w:shd w:val="clear" w:color="auto" w:fill="auto"/>
            <w:vAlign w:val="center"/>
            <w:hideMark/>
          </w:tcPr>
          <w:p w14:paraId="2D278234" w14:textId="77777777" w:rsidR="000E3A94" w:rsidRPr="00594376" w:rsidRDefault="000E3A94" w:rsidP="00AD715B">
            <w:pPr>
              <w:suppressAutoHyphens w:val="0"/>
              <w:spacing w:line="240" w:lineRule="auto"/>
              <w:rPr>
                <w:rFonts w:eastAsia="Times New Roman"/>
                <w:i/>
                <w:iCs/>
                <w:color w:val="000000"/>
                <w:lang w:val="en-KR" w:eastAsia="ko-KR"/>
              </w:rPr>
            </w:pPr>
            <w:proofErr w:type="spellStart"/>
            <w:r w:rsidRPr="00594376">
              <w:rPr>
                <w:rFonts w:eastAsia="Times New Roman"/>
                <w:i/>
                <w:iCs/>
                <w:color w:val="000000"/>
                <w:lang w:val="en-GB" w:eastAsia="ko-KR"/>
              </w:rPr>
              <w:t>LTotal</w:t>
            </w:r>
            <w:proofErr w:type="spellEnd"/>
          </w:p>
        </w:tc>
        <w:tc>
          <w:tcPr>
            <w:tcW w:w="1000" w:type="pct"/>
            <w:tcBorders>
              <w:top w:val="nil"/>
              <w:left w:val="nil"/>
              <w:bottom w:val="nil"/>
              <w:right w:val="nil"/>
            </w:tcBorders>
            <w:shd w:val="clear" w:color="auto" w:fill="auto"/>
            <w:vAlign w:val="center"/>
            <w:hideMark/>
          </w:tcPr>
          <w:p w14:paraId="5FBAC733" w14:textId="77777777" w:rsidR="000E3A94" w:rsidRPr="00594376" w:rsidRDefault="000E3A94" w:rsidP="00AD715B">
            <w:pPr>
              <w:suppressAutoHyphens w:val="0"/>
              <w:spacing w:line="240" w:lineRule="auto"/>
              <w:rPr>
                <w:rFonts w:eastAsia="Times New Roman"/>
                <w:i/>
                <w:iCs/>
                <w:color w:val="000000"/>
                <w:lang w:val="en-KR" w:eastAsia="ko-KR"/>
              </w:rPr>
            </w:pPr>
          </w:p>
        </w:tc>
        <w:tc>
          <w:tcPr>
            <w:tcW w:w="1000" w:type="pct"/>
            <w:tcBorders>
              <w:top w:val="nil"/>
              <w:left w:val="nil"/>
              <w:bottom w:val="nil"/>
              <w:right w:val="nil"/>
            </w:tcBorders>
            <w:shd w:val="clear" w:color="auto" w:fill="auto"/>
            <w:vAlign w:val="center"/>
            <w:hideMark/>
          </w:tcPr>
          <w:p w14:paraId="1B78E637" w14:textId="77777777" w:rsidR="000E3A94" w:rsidRPr="00594376" w:rsidRDefault="000E3A94" w:rsidP="00AD715B">
            <w:pPr>
              <w:suppressAutoHyphens w:val="0"/>
              <w:spacing w:line="240" w:lineRule="auto"/>
              <w:jc w:val="center"/>
              <w:rPr>
                <w:rFonts w:eastAsia="Times New Roman"/>
                <w:sz w:val="20"/>
                <w:szCs w:val="20"/>
                <w:lang w:val="en-KR" w:eastAsia="ko-KR"/>
              </w:rPr>
            </w:pPr>
          </w:p>
        </w:tc>
        <w:tc>
          <w:tcPr>
            <w:tcW w:w="1000" w:type="pct"/>
            <w:tcBorders>
              <w:top w:val="nil"/>
              <w:left w:val="nil"/>
              <w:bottom w:val="nil"/>
              <w:right w:val="nil"/>
            </w:tcBorders>
            <w:shd w:val="clear" w:color="auto" w:fill="auto"/>
            <w:vAlign w:val="center"/>
            <w:hideMark/>
          </w:tcPr>
          <w:p w14:paraId="08249B09"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0.7515***</w:t>
            </w:r>
          </w:p>
        </w:tc>
      </w:tr>
      <w:tr w:rsidR="000E3A94" w:rsidRPr="00594376" w14:paraId="03DC13B8" w14:textId="77777777" w:rsidTr="00AD715B">
        <w:trPr>
          <w:trHeight w:val="340"/>
        </w:trPr>
        <w:tc>
          <w:tcPr>
            <w:tcW w:w="2000" w:type="pct"/>
            <w:tcBorders>
              <w:top w:val="nil"/>
              <w:left w:val="nil"/>
              <w:bottom w:val="nil"/>
              <w:right w:val="nil"/>
            </w:tcBorders>
            <w:shd w:val="clear" w:color="auto" w:fill="auto"/>
            <w:vAlign w:val="center"/>
            <w:hideMark/>
          </w:tcPr>
          <w:p w14:paraId="13193881" w14:textId="77777777" w:rsidR="000E3A94" w:rsidRPr="00594376" w:rsidRDefault="000E3A94" w:rsidP="00AD715B">
            <w:pPr>
              <w:suppressAutoHyphens w:val="0"/>
              <w:spacing w:line="240" w:lineRule="auto"/>
              <w:jc w:val="center"/>
              <w:rPr>
                <w:rFonts w:eastAsia="Times New Roman"/>
                <w:color w:val="000000"/>
                <w:lang w:val="en-KR" w:eastAsia="ko-KR"/>
              </w:rPr>
            </w:pPr>
          </w:p>
        </w:tc>
        <w:tc>
          <w:tcPr>
            <w:tcW w:w="1000" w:type="pct"/>
            <w:tcBorders>
              <w:top w:val="nil"/>
              <w:left w:val="nil"/>
              <w:bottom w:val="nil"/>
              <w:right w:val="nil"/>
            </w:tcBorders>
            <w:shd w:val="clear" w:color="auto" w:fill="auto"/>
            <w:vAlign w:val="center"/>
            <w:hideMark/>
          </w:tcPr>
          <w:p w14:paraId="49996B94" w14:textId="77777777" w:rsidR="000E3A94" w:rsidRPr="00594376" w:rsidRDefault="000E3A94" w:rsidP="00AD715B">
            <w:pPr>
              <w:suppressAutoHyphens w:val="0"/>
              <w:spacing w:line="240" w:lineRule="auto"/>
              <w:rPr>
                <w:rFonts w:eastAsia="Times New Roman"/>
                <w:sz w:val="20"/>
                <w:szCs w:val="20"/>
                <w:lang w:val="en-KR" w:eastAsia="ko-KR"/>
              </w:rPr>
            </w:pPr>
          </w:p>
        </w:tc>
        <w:tc>
          <w:tcPr>
            <w:tcW w:w="1000" w:type="pct"/>
            <w:tcBorders>
              <w:top w:val="nil"/>
              <w:left w:val="nil"/>
              <w:bottom w:val="nil"/>
              <w:right w:val="nil"/>
            </w:tcBorders>
            <w:shd w:val="clear" w:color="auto" w:fill="auto"/>
            <w:vAlign w:val="center"/>
            <w:hideMark/>
          </w:tcPr>
          <w:p w14:paraId="1DC0E7E1" w14:textId="77777777" w:rsidR="000E3A94" w:rsidRPr="00594376" w:rsidRDefault="000E3A94" w:rsidP="00AD715B">
            <w:pPr>
              <w:suppressAutoHyphens w:val="0"/>
              <w:spacing w:line="240" w:lineRule="auto"/>
              <w:jc w:val="center"/>
              <w:rPr>
                <w:rFonts w:eastAsia="Times New Roman"/>
                <w:sz w:val="20"/>
                <w:szCs w:val="20"/>
                <w:lang w:val="en-KR" w:eastAsia="ko-KR"/>
              </w:rPr>
            </w:pPr>
          </w:p>
        </w:tc>
        <w:tc>
          <w:tcPr>
            <w:tcW w:w="1000" w:type="pct"/>
            <w:tcBorders>
              <w:top w:val="nil"/>
              <w:left w:val="nil"/>
              <w:bottom w:val="nil"/>
              <w:right w:val="nil"/>
            </w:tcBorders>
            <w:shd w:val="clear" w:color="auto" w:fill="auto"/>
            <w:vAlign w:val="center"/>
            <w:hideMark/>
          </w:tcPr>
          <w:p w14:paraId="0C8C77C9"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(0.0526)</w:t>
            </w:r>
          </w:p>
        </w:tc>
      </w:tr>
      <w:tr w:rsidR="000E3A94" w:rsidRPr="00594376" w14:paraId="6E7768D0" w14:textId="77777777" w:rsidTr="00AD715B">
        <w:trPr>
          <w:trHeight w:val="340"/>
        </w:trPr>
        <w:tc>
          <w:tcPr>
            <w:tcW w:w="2000" w:type="pct"/>
            <w:tcBorders>
              <w:top w:val="nil"/>
              <w:left w:val="nil"/>
              <w:bottom w:val="nil"/>
              <w:right w:val="nil"/>
            </w:tcBorders>
            <w:shd w:val="clear" w:color="auto" w:fill="auto"/>
            <w:vAlign w:val="center"/>
            <w:hideMark/>
          </w:tcPr>
          <w:p w14:paraId="2CED2813" w14:textId="77777777" w:rsidR="000E3A94" w:rsidRPr="00594376" w:rsidRDefault="000E3A94" w:rsidP="00AD715B">
            <w:pPr>
              <w:suppressAutoHyphens w:val="0"/>
              <w:spacing w:line="240" w:lineRule="auto"/>
              <w:rPr>
                <w:rFonts w:eastAsia="Times New Roman"/>
                <w:i/>
                <w:iCs/>
                <w:color w:val="000000"/>
                <w:lang w:val="en-KR" w:eastAsia="ko-KR"/>
              </w:rPr>
            </w:pPr>
            <w:r w:rsidRPr="00594376">
              <w:rPr>
                <w:rFonts w:eastAsia="Times New Roman"/>
                <w:i/>
                <w:iCs/>
                <w:color w:val="000000"/>
                <w:lang w:val="en-GB" w:eastAsia="ko-KR"/>
              </w:rPr>
              <w:t>ROAA</w:t>
            </w:r>
          </w:p>
        </w:tc>
        <w:tc>
          <w:tcPr>
            <w:tcW w:w="1000" w:type="pct"/>
            <w:tcBorders>
              <w:top w:val="nil"/>
              <w:left w:val="nil"/>
              <w:bottom w:val="nil"/>
              <w:right w:val="nil"/>
            </w:tcBorders>
            <w:shd w:val="clear" w:color="auto" w:fill="auto"/>
            <w:vAlign w:val="center"/>
            <w:hideMark/>
          </w:tcPr>
          <w:p w14:paraId="21273D84"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1.9267***</w:t>
            </w:r>
          </w:p>
        </w:tc>
        <w:tc>
          <w:tcPr>
            <w:tcW w:w="1000" w:type="pct"/>
            <w:tcBorders>
              <w:top w:val="nil"/>
              <w:left w:val="nil"/>
              <w:bottom w:val="nil"/>
              <w:right w:val="nil"/>
            </w:tcBorders>
            <w:shd w:val="clear" w:color="auto" w:fill="auto"/>
            <w:vAlign w:val="center"/>
            <w:hideMark/>
          </w:tcPr>
          <w:p w14:paraId="796FB7E8"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126.6120**</w:t>
            </w:r>
          </w:p>
        </w:tc>
        <w:tc>
          <w:tcPr>
            <w:tcW w:w="1000" w:type="pct"/>
            <w:tcBorders>
              <w:top w:val="nil"/>
              <w:left w:val="nil"/>
              <w:bottom w:val="nil"/>
              <w:right w:val="nil"/>
            </w:tcBorders>
            <w:shd w:val="clear" w:color="auto" w:fill="auto"/>
            <w:vAlign w:val="center"/>
            <w:hideMark/>
          </w:tcPr>
          <w:p w14:paraId="4DEF4002"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4.3274***</w:t>
            </w:r>
          </w:p>
        </w:tc>
      </w:tr>
      <w:tr w:rsidR="000E3A94" w:rsidRPr="00594376" w14:paraId="430B8646" w14:textId="77777777" w:rsidTr="00AD715B">
        <w:trPr>
          <w:trHeight w:val="340"/>
        </w:trPr>
        <w:tc>
          <w:tcPr>
            <w:tcW w:w="2000" w:type="pct"/>
            <w:tcBorders>
              <w:top w:val="nil"/>
              <w:left w:val="nil"/>
              <w:bottom w:val="nil"/>
              <w:right w:val="nil"/>
            </w:tcBorders>
            <w:shd w:val="clear" w:color="auto" w:fill="auto"/>
            <w:vAlign w:val="center"/>
            <w:hideMark/>
          </w:tcPr>
          <w:p w14:paraId="75FCD677" w14:textId="77777777" w:rsidR="000E3A94" w:rsidRPr="00594376" w:rsidRDefault="000E3A94" w:rsidP="00AD715B">
            <w:pPr>
              <w:suppressAutoHyphens w:val="0"/>
              <w:spacing w:line="240" w:lineRule="auto"/>
              <w:jc w:val="center"/>
              <w:rPr>
                <w:rFonts w:eastAsia="Times New Roman"/>
                <w:color w:val="000000"/>
                <w:lang w:val="en-KR" w:eastAsia="ko-KR"/>
              </w:rPr>
            </w:pPr>
          </w:p>
        </w:tc>
        <w:tc>
          <w:tcPr>
            <w:tcW w:w="1000" w:type="pct"/>
            <w:tcBorders>
              <w:top w:val="nil"/>
              <w:left w:val="nil"/>
              <w:bottom w:val="nil"/>
              <w:right w:val="nil"/>
            </w:tcBorders>
            <w:shd w:val="clear" w:color="auto" w:fill="auto"/>
            <w:vAlign w:val="center"/>
            <w:hideMark/>
          </w:tcPr>
          <w:p w14:paraId="7FBC8A70"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(0.3733)</w:t>
            </w:r>
          </w:p>
        </w:tc>
        <w:tc>
          <w:tcPr>
            <w:tcW w:w="1000" w:type="pct"/>
            <w:tcBorders>
              <w:top w:val="nil"/>
              <w:left w:val="nil"/>
              <w:bottom w:val="nil"/>
              <w:right w:val="nil"/>
            </w:tcBorders>
            <w:shd w:val="clear" w:color="auto" w:fill="auto"/>
            <w:vAlign w:val="center"/>
            <w:hideMark/>
          </w:tcPr>
          <w:p w14:paraId="7F17EA96"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(53.0379)</w:t>
            </w:r>
          </w:p>
        </w:tc>
        <w:tc>
          <w:tcPr>
            <w:tcW w:w="1000" w:type="pct"/>
            <w:tcBorders>
              <w:top w:val="nil"/>
              <w:left w:val="nil"/>
              <w:bottom w:val="nil"/>
              <w:right w:val="nil"/>
            </w:tcBorders>
            <w:shd w:val="clear" w:color="auto" w:fill="auto"/>
            <w:vAlign w:val="center"/>
            <w:hideMark/>
          </w:tcPr>
          <w:p w14:paraId="538F7F17"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(0.5377)</w:t>
            </w:r>
          </w:p>
        </w:tc>
      </w:tr>
      <w:tr w:rsidR="000E3A94" w:rsidRPr="00594376" w14:paraId="359F1D7A" w14:textId="77777777" w:rsidTr="00AD715B">
        <w:trPr>
          <w:trHeight w:val="340"/>
        </w:trPr>
        <w:tc>
          <w:tcPr>
            <w:tcW w:w="2000" w:type="pct"/>
            <w:tcBorders>
              <w:top w:val="nil"/>
              <w:left w:val="nil"/>
              <w:bottom w:val="nil"/>
              <w:right w:val="nil"/>
            </w:tcBorders>
            <w:shd w:val="clear" w:color="auto" w:fill="auto"/>
            <w:vAlign w:val="center"/>
            <w:hideMark/>
          </w:tcPr>
          <w:p w14:paraId="2C2AFB01" w14:textId="77777777" w:rsidR="000E3A94" w:rsidRPr="00594376" w:rsidRDefault="000E3A94" w:rsidP="00AD715B">
            <w:pPr>
              <w:suppressAutoHyphens w:val="0"/>
              <w:spacing w:line="240" w:lineRule="auto"/>
              <w:rPr>
                <w:rFonts w:eastAsia="Times New Roman"/>
                <w:i/>
                <w:iCs/>
                <w:color w:val="000000"/>
                <w:lang w:val="en-KR" w:eastAsia="ko-KR"/>
              </w:rPr>
            </w:pPr>
            <w:r w:rsidRPr="00594376">
              <w:rPr>
                <w:rFonts w:eastAsia="Times New Roman"/>
                <w:i/>
                <w:iCs/>
                <w:color w:val="000000"/>
                <w:lang w:val="en-GB" w:eastAsia="ko-KR"/>
              </w:rPr>
              <w:t>Solvency</w:t>
            </w:r>
          </w:p>
        </w:tc>
        <w:tc>
          <w:tcPr>
            <w:tcW w:w="1000" w:type="pct"/>
            <w:tcBorders>
              <w:top w:val="nil"/>
              <w:left w:val="nil"/>
              <w:bottom w:val="nil"/>
              <w:right w:val="nil"/>
            </w:tcBorders>
            <w:shd w:val="clear" w:color="auto" w:fill="auto"/>
            <w:vAlign w:val="center"/>
            <w:hideMark/>
          </w:tcPr>
          <w:p w14:paraId="07EC2B76"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-0.1157**</w:t>
            </w:r>
          </w:p>
        </w:tc>
        <w:tc>
          <w:tcPr>
            <w:tcW w:w="1000" w:type="pct"/>
            <w:tcBorders>
              <w:top w:val="nil"/>
              <w:left w:val="nil"/>
              <w:bottom w:val="nil"/>
              <w:right w:val="nil"/>
            </w:tcBorders>
            <w:shd w:val="clear" w:color="auto" w:fill="auto"/>
            <w:vAlign w:val="center"/>
            <w:hideMark/>
          </w:tcPr>
          <w:p w14:paraId="0A4BF608"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-0.4665</w:t>
            </w:r>
          </w:p>
        </w:tc>
        <w:tc>
          <w:tcPr>
            <w:tcW w:w="1000" w:type="pct"/>
            <w:tcBorders>
              <w:top w:val="nil"/>
              <w:left w:val="nil"/>
              <w:bottom w:val="nil"/>
              <w:right w:val="nil"/>
            </w:tcBorders>
            <w:shd w:val="clear" w:color="auto" w:fill="auto"/>
            <w:vAlign w:val="center"/>
            <w:hideMark/>
          </w:tcPr>
          <w:p w14:paraId="1F2A522C"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-0.0836</w:t>
            </w:r>
          </w:p>
        </w:tc>
      </w:tr>
      <w:tr w:rsidR="000E3A94" w:rsidRPr="00594376" w14:paraId="2457723D" w14:textId="77777777" w:rsidTr="00AD715B">
        <w:trPr>
          <w:trHeight w:val="340"/>
        </w:trPr>
        <w:tc>
          <w:tcPr>
            <w:tcW w:w="2000" w:type="pct"/>
            <w:tcBorders>
              <w:top w:val="nil"/>
              <w:left w:val="nil"/>
              <w:bottom w:val="nil"/>
              <w:right w:val="nil"/>
            </w:tcBorders>
            <w:shd w:val="clear" w:color="auto" w:fill="auto"/>
            <w:vAlign w:val="center"/>
            <w:hideMark/>
          </w:tcPr>
          <w:p w14:paraId="343AB3B4" w14:textId="77777777" w:rsidR="000E3A94" w:rsidRPr="00594376" w:rsidRDefault="000E3A94" w:rsidP="00AD715B">
            <w:pPr>
              <w:suppressAutoHyphens w:val="0"/>
              <w:spacing w:line="240" w:lineRule="auto"/>
              <w:jc w:val="center"/>
              <w:rPr>
                <w:rFonts w:eastAsia="Times New Roman"/>
                <w:color w:val="000000"/>
                <w:lang w:val="en-KR" w:eastAsia="ko-KR"/>
              </w:rPr>
            </w:pPr>
          </w:p>
        </w:tc>
        <w:tc>
          <w:tcPr>
            <w:tcW w:w="1000" w:type="pct"/>
            <w:tcBorders>
              <w:top w:val="nil"/>
              <w:left w:val="nil"/>
              <w:bottom w:val="nil"/>
              <w:right w:val="nil"/>
            </w:tcBorders>
            <w:shd w:val="clear" w:color="auto" w:fill="auto"/>
            <w:vAlign w:val="center"/>
            <w:hideMark/>
          </w:tcPr>
          <w:p w14:paraId="4B0CC6D3"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(0.0507)</w:t>
            </w:r>
          </w:p>
        </w:tc>
        <w:tc>
          <w:tcPr>
            <w:tcW w:w="1000" w:type="pct"/>
            <w:tcBorders>
              <w:top w:val="nil"/>
              <w:left w:val="nil"/>
              <w:bottom w:val="nil"/>
              <w:right w:val="nil"/>
            </w:tcBorders>
            <w:shd w:val="clear" w:color="auto" w:fill="auto"/>
            <w:vAlign w:val="center"/>
            <w:hideMark/>
          </w:tcPr>
          <w:p w14:paraId="44345C9A"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(5.1229)</w:t>
            </w:r>
          </w:p>
        </w:tc>
        <w:tc>
          <w:tcPr>
            <w:tcW w:w="1000" w:type="pct"/>
            <w:tcBorders>
              <w:top w:val="nil"/>
              <w:left w:val="nil"/>
              <w:bottom w:val="nil"/>
              <w:right w:val="nil"/>
            </w:tcBorders>
            <w:shd w:val="clear" w:color="auto" w:fill="auto"/>
            <w:vAlign w:val="center"/>
            <w:hideMark/>
          </w:tcPr>
          <w:p w14:paraId="27D15285"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(0.0552)</w:t>
            </w:r>
          </w:p>
        </w:tc>
      </w:tr>
      <w:tr w:rsidR="000E3A94" w:rsidRPr="00594376" w14:paraId="56C84DE4" w14:textId="77777777" w:rsidTr="00AD715B">
        <w:trPr>
          <w:trHeight w:val="340"/>
        </w:trPr>
        <w:tc>
          <w:tcPr>
            <w:tcW w:w="2000" w:type="pct"/>
            <w:tcBorders>
              <w:top w:val="nil"/>
              <w:left w:val="nil"/>
              <w:bottom w:val="nil"/>
              <w:right w:val="nil"/>
            </w:tcBorders>
            <w:shd w:val="clear" w:color="auto" w:fill="auto"/>
            <w:vAlign w:val="center"/>
            <w:hideMark/>
          </w:tcPr>
          <w:p w14:paraId="49C6514C" w14:textId="77777777" w:rsidR="000E3A94" w:rsidRPr="00594376" w:rsidRDefault="000E3A94" w:rsidP="00AD715B">
            <w:pPr>
              <w:suppressAutoHyphens w:val="0"/>
              <w:spacing w:line="240" w:lineRule="auto"/>
              <w:rPr>
                <w:rFonts w:eastAsia="Times New Roman"/>
                <w:i/>
                <w:iCs/>
                <w:color w:val="000000"/>
                <w:lang w:val="en-KR" w:eastAsia="ko-KR"/>
              </w:rPr>
            </w:pPr>
            <w:proofErr w:type="spellStart"/>
            <w:r w:rsidRPr="00594376">
              <w:rPr>
                <w:rFonts w:eastAsia="Times New Roman"/>
                <w:i/>
                <w:iCs/>
                <w:color w:val="000000"/>
                <w:lang w:val="en-GB" w:eastAsia="ko-KR"/>
              </w:rPr>
              <w:t>AgeF</w:t>
            </w:r>
            <w:proofErr w:type="spellEnd"/>
          </w:p>
        </w:tc>
        <w:tc>
          <w:tcPr>
            <w:tcW w:w="1000" w:type="pct"/>
            <w:tcBorders>
              <w:top w:val="nil"/>
              <w:left w:val="nil"/>
              <w:bottom w:val="nil"/>
              <w:right w:val="nil"/>
            </w:tcBorders>
            <w:shd w:val="clear" w:color="auto" w:fill="auto"/>
            <w:vAlign w:val="center"/>
            <w:hideMark/>
          </w:tcPr>
          <w:p w14:paraId="5829A0DB"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-0.0934*</w:t>
            </w:r>
          </w:p>
        </w:tc>
        <w:tc>
          <w:tcPr>
            <w:tcW w:w="1000" w:type="pct"/>
            <w:tcBorders>
              <w:top w:val="nil"/>
              <w:left w:val="nil"/>
              <w:bottom w:val="nil"/>
              <w:right w:val="nil"/>
            </w:tcBorders>
            <w:shd w:val="clear" w:color="auto" w:fill="auto"/>
            <w:vAlign w:val="center"/>
            <w:hideMark/>
          </w:tcPr>
          <w:p w14:paraId="500CE001"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162.0389***</w:t>
            </w:r>
          </w:p>
        </w:tc>
        <w:tc>
          <w:tcPr>
            <w:tcW w:w="1000" w:type="pct"/>
            <w:tcBorders>
              <w:top w:val="nil"/>
              <w:left w:val="nil"/>
              <w:bottom w:val="nil"/>
              <w:right w:val="nil"/>
            </w:tcBorders>
            <w:shd w:val="clear" w:color="auto" w:fill="auto"/>
            <w:vAlign w:val="center"/>
            <w:hideMark/>
          </w:tcPr>
          <w:p w14:paraId="18FA562A"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0.0921</w:t>
            </w:r>
          </w:p>
        </w:tc>
      </w:tr>
      <w:tr w:rsidR="000E3A94" w:rsidRPr="00594376" w14:paraId="089AF880" w14:textId="77777777" w:rsidTr="00AD715B">
        <w:trPr>
          <w:trHeight w:val="340"/>
        </w:trPr>
        <w:tc>
          <w:tcPr>
            <w:tcW w:w="2000" w:type="pct"/>
            <w:tcBorders>
              <w:top w:val="nil"/>
              <w:left w:val="nil"/>
              <w:bottom w:val="nil"/>
              <w:right w:val="nil"/>
            </w:tcBorders>
            <w:shd w:val="clear" w:color="auto" w:fill="auto"/>
            <w:vAlign w:val="center"/>
            <w:hideMark/>
          </w:tcPr>
          <w:p w14:paraId="5D610C5A" w14:textId="77777777" w:rsidR="000E3A94" w:rsidRPr="00594376" w:rsidRDefault="000E3A94" w:rsidP="00AD715B">
            <w:pPr>
              <w:suppressAutoHyphens w:val="0"/>
              <w:spacing w:line="240" w:lineRule="auto"/>
              <w:jc w:val="center"/>
              <w:rPr>
                <w:rFonts w:eastAsia="Times New Roman"/>
                <w:color w:val="000000"/>
                <w:lang w:val="en-KR" w:eastAsia="ko-KR"/>
              </w:rPr>
            </w:pPr>
          </w:p>
        </w:tc>
        <w:tc>
          <w:tcPr>
            <w:tcW w:w="1000" w:type="pct"/>
            <w:tcBorders>
              <w:top w:val="nil"/>
              <w:left w:val="nil"/>
              <w:bottom w:val="nil"/>
              <w:right w:val="nil"/>
            </w:tcBorders>
            <w:shd w:val="clear" w:color="auto" w:fill="auto"/>
            <w:vAlign w:val="center"/>
            <w:hideMark/>
          </w:tcPr>
          <w:p w14:paraId="6F23C171"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(0.0498)</w:t>
            </w:r>
          </w:p>
        </w:tc>
        <w:tc>
          <w:tcPr>
            <w:tcW w:w="1000" w:type="pct"/>
            <w:tcBorders>
              <w:top w:val="nil"/>
              <w:left w:val="nil"/>
              <w:bottom w:val="nil"/>
              <w:right w:val="nil"/>
            </w:tcBorders>
            <w:shd w:val="clear" w:color="auto" w:fill="auto"/>
            <w:vAlign w:val="center"/>
            <w:hideMark/>
          </w:tcPr>
          <w:p w14:paraId="49C109B5"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(10.7670)</w:t>
            </w:r>
          </w:p>
        </w:tc>
        <w:tc>
          <w:tcPr>
            <w:tcW w:w="1000" w:type="pct"/>
            <w:tcBorders>
              <w:top w:val="nil"/>
              <w:left w:val="nil"/>
              <w:bottom w:val="nil"/>
              <w:right w:val="nil"/>
            </w:tcBorders>
            <w:shd w:val="clear" w:color="auto" w:fill="auto"/>
            <w:vAlign w:val="center"/>
            <w:hideMark/>
          </w:tcPr>
          <w:p w14:paraId="0D9E2FC3"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(0.0665)</w:t>
            </w:r>
          </w:p>
        </w:tc>
      </w:tr>
      <w:tr w:rsidR="000E3A94" w:rsidRPr="00594376" w14:paraId="060E0683" w14:textId="77777777" w:rsidTr="00AD715B">
        <w:trPr>
          <w:trHeight w:val="340"/>
        </w:trPr>
        <w:tc>
          <w:tcPr>
            <w:tcW w:w="2000" w:type="pct"/>
            <w:tcBorders>
              <w:top w:val="nil"/>
              <w:left w:val="nil"/>
              <w:bottom w:val="nil"/>
              <w:right w:val="nil"/>
            </w:tcBorders>
            <w:shd w:val="clear" w:color="auto" w:fill="auto"/>
            <w:vAlign w:val="center"/>
            <w:hideMark/>
          </w:tcPr>
          <w:p w14:paraId="3C3C03DE" w14:textId="77777777" w:rsidR="000E3A94" w:rsidRPr="00594376" w:rsidRDefault="000E3A94" w:rsidP="00AD715B">
            <w:pPr>
              <w:suppressAutoHyphens w:val="0"/>
              <w:spacing w:line="240" w:lineRule="auto"/>
              <w:rPr>
                <w:rFonts w:eastAsia="Times New Roman"/>
                <w:i/>
                <w:iCs/>
                <w:color w:val="000000"/>
                <w:lang w:val="en-KR" w:eastAsia="ko-KR"/>
              </w:rPr>
            </w:pPr>
            <w:r w:rsidRPr="00594376">
              <w:rPr>
                <w:rFonts w:eastAsia="Times New Roman"/>
                <w:i/>
                <w:iCs/>
                <w:color w:val="000000"/>
                <w:lang w:val="en-GB" w:eastAsia="ko-KR"/>
              </w:rPr>
              <w:t>Constant</w:t>
            </w:r>
          </w:p>
        </w:tc>
        <w:tc>
          <w:tcPr>
            <w:tcW w:w="1000" w:type="pct"/>
            <w:tcBorders>
              <w:top w:val="nil"/>
              <w:left w:val="nil"/>
              <w:bottom w:val="nil"/>
              <w:right w:val="nil"/>
            </w:tcBorders>
            <w:shd w:val="clear" w:color="auto" w:fill="auto"/>
            <w:vAlign w:val="center"/>
            <w:hideMark/>
          </w:tcPr>
          <w:p w14:paraId="656D2C6B"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4.8288***</w:t>
            </w:r>
          </w:p>
        </w:tc>
        <w:tc>
          <w:tcPr>
            <w:tcW w:w="1000" w:type="pct"/>
            <w:tcBorders>
              <w:top w:val="nil"/>
              <w:left w:val="nil"/>
              <w:bottom w:val="nil"/>
              <w:right w:val="nil"/>
            </w:tcBorders>
            <w:shd w:val="clear" w:color="auto" w:fill="auto"/>
            <w:vAlign w:val="center"/>
            <w:hideMark/>
          </w:tcPr>
          <w:p w14:paraId="284DFDBB"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-62.6662**</w:t>
            </w:r>
          </w:p>
        </w:tc>
        <w:tc>
          <w:tcPr>
            <w:tcW w:w="1000" w:type="pct"/>
            <w:tcBorders>
              <w:top w:val="nil"/>
              <w:left w:val="nil"/>
              <w:bottom w:val="nil"/>
              <w:right w:val="nil"/>
            </w:tcBorders>
            <w:shd w:val="clear" w:color="auto" w:fill="auto"/>
            <w:vAlign w:val="center"/>
            <w:hideMark/>
          </w:tcPr>
          <w:p w14:paraId="530BC83F"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4.3285***</w:t>
            </w:r>
          </w:p>
        </w:tc>
      </w:tr>
      <w:tr w:rsidR="000E3A94" w:rsidRPr="00594376" w14:paraId="14674281" w14:textId="77777777" w:rsidTr="00AD715B">
        <w:trPr>
          <w:trHeight w:val="340"/>
        </w:trPr>
        <w:tc>
          <w:tcPr>
            <w:tcW w:w="2000" w:type="pct"/>
            <w:tcBorders>
              <w:top w:val="nil"/>
              <w:left w:val="nil"/>
              <w:bottom w:val="nil"/>
              <w:right w:val="nil"/>
            </w:tcBorders>
            <w:shd w:val="clear" w:color="auto" w:fill="auto"/>
            <w:vAlign w:val="center"/>
            <w:hideMark/>
          </w:tcPr>
          <w:p w14:paraId="631C7919" w14:textId="77777777" w:rsidR="000E3A94" w:rsidRPr="00594376" w:rsidRDefault="000E3A94" w:rsidP="00AD715B">
            <w:pPr>
              <w:suppressAutoHyphens w:val="0"/>
              <w:spacing w:line="240" w:lineRule="auto"/>
              <w:jc w:val="center"/>
              <w:rPr>
                <w:rFonts w:eastAsia="Times New Roman"/>
                <w:color w:val="000000"/>
                <w:lang w:val="en-KR" w:eastAsia="ko-KR"/>
              </w:rPr>
            </w:pPr>
          </w:p>
        </w:tc>
        <w:tc>
          <w:tcPr>
            <w:tcW w:w="1000" w:type="pct"/>
            <w:tcBorders>
              <w:top w:val="nil"/>
              <w:left w:val="nil"/>
              <w:bottom w:val="nil"/>
              <w:right w:val="nil"/>
            </w:tcBorders>
            <w:shd w:val="clear" w:color="auto" w:fill="auto"/>
            <w:vAlign w:val="center"/>
            <w:hideMark/>
          </w:tcPr>
          <w:p w14:paraId="565EA60C"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(0.1167)</w:t>
            </w:r>
          </w:p>
        </w:tc>
        <w:tc>
          <w:tcPr>
            <w:tcW w:w="1000" w:type="pct"/>
            <w:tcBorders>
              <w:top w:val="nil"/>
              <w:left w:val="nil"/>
              <w:bottom w:val="nil"/>
              <w:right w:val="nil"/>
            </w:tcBorders>
            <w:shd w:val="clear" w:color="auto" w:fill="auto"/>
            <w:vAlign w:val="center"/>
            <w:hideMark/>
          </w:tcPr>
          <w:p w14:paraId="0814FEC4"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(25.0094)</w:t>
            </w:r>
          </w:p>
        </w:tc>
        <w:tc>
          <w:tcPr>
            <w:tcW w:w="1000" w:type="pct"/>
            <w:tcBorders>
              <w:top w:val="nil"/>
              <w:left w:val="nil"/>
              <w:bottom w:val="nil"/>
              <w:right w:val="nil"/>
            </w:tcBorders>
            <w:shd w:val="clear" w:color="auto" w:fill="auto"/>
            <w:vAlign w:val="center"/>
            <w:hideMark/>
          </w:tcPr>
          <w:p w14:paraId="287E67F7"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(0.1608)</w:t>
            </w:r>
          </w:p>
        </w:tc>
      </w:tr>
      <w:tr w:rsidR="000E3A94" w:rsidRPr="00594376" w14:paraId="172630C0" w14:textId="77777777" w:rsidTr="00AD715B">
        <w:trPr>
          <w:trHeight w:val="320"/>
        </w:trPr>
        <w:tc>
          <w:tcPr>
            <w:tcW w:w="2000" w:type="pct"/>
            <w:tcBorders>
              <w:top w:val="nil"/>
              <w:left w:val="nil"/>
              <w:bottom w:val="nil"/>
              <w:right w:val="nil"/>
            </w:tcBorders>
            <w:shd w:val="clear" w:color="auto" w:fill="auto"/>
            <w:vAlign w:val="center"/>
            <w:hideMark/>
          </w:tcPr>
          <w:p w14:paraId="586F052F" w14:textId="77777777" w:rsidR="000E3A94" w:rsidRPr="00594376" w:rsidRDefault="000E3A94" w:rsidP="00AD715B">
            <w:pPr>
              <w:suppressAutoHyphens w:val="0"/>
              <w:spacing w:line="240" w:lineRule="auto"/>
              <w:jc w:val="center"/>
              <w:rPr>
                <w:rFonts w:eastAsia="Times New Roman"/>
                <w:color w:val="000000"/>
                <w:lang w:val="en-KR" w:eastAsia="ko-KR"/>
              </w:rPr>
            </w:pPr>
          </w:p>
        </w:tc>
        <w:tc>
          <w:tcPr>
            <w:tcW w:w="1000" w:type="pct"/>
            <w:tcBorders>
              <w:top w:val="nil"/>
              <w:left w:val="nil"/>
              <w:bottom w:val="nil"/>
              <w:right w:val="nil"/>
            </w:tcBorders>
            <w:shd w:val="clear" w:color="auto" w:fill="auto"/>
            <w:vAlign w:val="center"/>
            <w:hideMark/>
          </w:tcPr>
          <w:p w14:paraId="3626D05D" w14:textId="77777777" w:rsidR="000E3A94" w:rsidRPr="00594376" w:rsidRDefault="000E3A94" w:rsidP="00AD715B">
            <w:pPr>
              <w:suppressAutoHyphens w:val="0"/>
              <w:spacing w:line="240" w:lineRule="auto"/>
              <w:rPr>
                <w:rFonts w:eastAsia="Times New Roman"/>
                <w:sz w:val="20"/>
                <w:szCs w:val="20"/>
                <w:lang w:val="en-KR" w:eastAsia="ko-KR"/>
              </w:rPr>
            </w:pPr>
          </w:p>
        </w:tc>
        <w:tc>
          <w:tcPr>
            <w:tcW w:w="1000" w:type="pct"/>
            <w:tcBorders>
              <w:top w:val="nil"/>
              <w:left w:val="nil"/>
              <w:bottom w:val="nil"/>
              <w:right w:val="nil"/>
            </w:tcBorders>
            <w:shd w:val="clear" w:color="auto" w:fill="auto"/>
            <w:vAlign w:val="center"/>
            <w:hideMark/>
          </w:tcPr>
          <w:p w14:paraId="0A145608" w14:textId="77777777" w:rsidR="000E3A94" w:rsidRPr="00594376" w:rsidRDefault="000E3A94" w:rsidP="00AD715B">
            <w:pPr>
              <w:suppressAutoHyphens w:val="0"/>
              <w:spacing w:line="240" w:lineRule="auto"/>
              <w:jc w:val="center"/>
              <w:rPr>
                <w:rFonts w:eastAsia="Times New Roman"/>
                <w:sz w:val="20"/>
                <w:szCs w:val="20"/>
                <w:lang w:val="en-KR" w:eastAsia="ko-KR"/>
              </w:rPr>
            </w:pPr>
          </w:p>
        </w:tc>
        <w:tc>
          <w:tcPr>
            <w:tcW w:w="1000" w:type="pct"/>
            <w:tcBorders>
              <w:top w:val="nil"/>
              <w:left w:val="nil"/>
              <w:bottom w:val="nil"/>
              <w:right w:val="nil"/>
            </w:tcBorders>
            <w:shd w:val="clear" w:color="auto" w:fill="auto"/>
            <w:vAlign w:val="center"/>
            <w:hideMark/>
          </w:tcPr>
          <w:p w14:paraId="49352701" w14:textId="77777777" w:rsidR="000E3A94" w:rsidRPr="00594376" w:rsidRDefault="000E3A94" w:rsidP="00AD715B">
            <w:pPr>
              <w:suppressAutoHyphens w:val="0"/>
              <w:spacing w:line="240" w:lineRule="auto"/>
              <w:jc w:val="center"/>
              <w:rPr>
                <w:rFonts w:eastAsia="Times New Roman"/>
                <w:sz w:val="20"/>
                <w:szCs w:val="20"/>
                <w:lang w:val="en-KR" w:eastAsia="ko-KR"/>
              </w:rPr>
            </w:pPr>
          </w:p>
        </w:tc>
      </w:tr>
      <w:tr w:rsidR="000E3A94" w:rsidRPr="00594376" w14:paraId="52537B39" w14:textId="77777777" w:rsidTr="00AD715B">
        <w:trPr>
          <w:trHeight w:val="340"/>
        </w:trPr>
        <w:tc>
          <w:tcPr>
            <w:tcW w:w="2000" w:type="pct"/>
            <w:tcBorders>
              <w:top w:val="nil"/>
              <w:left w:val="nil"/>
              <w:bottom w:val="nil"/>
              <w:right w:val="nil"/>
            </w:tcBorders>
            <w:shd w:val="clear" w:color="auto" w:fill="auto"/>
            <w:vAlign w:val="center"/>
            <w:hideMark/>
          </w:tcPr>
          <w:p w14:paraId="2F28F1FE" w14:textId="77777777" w:rsidR="000E3A94" w:rsidRPr="00594376" w:rsidRDefault="000E3A94" w:rsidP="00AD715B">
            <w:pPr>
              <w:suppressAutoHyphens w:val="0"/>
              <w:spacing w:line="240" w:lineRule="auto"/>
              <w:rPr>
                <w:rFonts w:eastAsia="Times New Roman"/>
                <w:i/>
                <w:iCs/>
                <w:color w:val="000000"/>
                <w:lang w:val="en-KR" w:eastAsia="ko-KR"/>
              </w:rPr>
            </w:pPr>
            <w:r w:rsidRPr="00594376">
              <w:rPr>
                <w:rFonts w:eastAsia="Times New Roman"/>
                <w:i/>
                <w:iCs/>
                <w:color w:val="000000"/>
                <w:lang w:val="en-GB" w:eastAsia="ko-KR"/>
              </w:rPr>
              <w:t>Year</w:t>
            </w:r>
          </w:p>
        </w:tc>
        <w:tc>
          <w:tcPr>
            <w:tcW w:w="1000" w:type="pct"/>
            <w:tcBorders>
              <w:top w:val="nil"/>
              <w:left w:val="nil"/>
              <w:bottom w:val="nil"/>
              <w:right w:val="nil"/>
            </w:tcBorders>
            <w:shd w:val="clear" w:color="auto" w:fill="auto"/>
            <w:vAlign w:val="center"/>
            <w:hideMark/>
          </w:tcPr>
          <w:p w14:paraId="50D8789C"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Yes</w:t>
            </w:r>
          </w:p>
        </w:tc>
        <w:tc>
          <w:tcPr>
            <w:tcW w:w="1000" w:type="pct"/>
            <w:tcBorders>
              <w:top w:val="nil"/>
              <w:left w:val="nil"/>
              <w:bottom w:val="nil"/>
              <w:right w:val="nil"/>
            </w:tcBorders>
            <w:shd w:val="clear" w:color="auto" w:fill="auto"/>
            <w:vAlign w:val="center"/>
            <w:hideMark/>
          </w:tcPr>
          <w:p w14:paraId="1B97E29F"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Yes</w:t>
            </w:r>
          </w:p>
        </w:tc>
        <w:tc>
          <w:tcPr>
            <w:tcW w:w="1000" w:type="pct"/>
            <w:tcBorders>
              <w:top w:val="nil"/>
              <w:left w:val="nil"/>
              <w:bottom w:val="nil"/>
              <w:right w:val="nil"/>
            </w:tcBorders>
            <w:shd w:val="clear" w:color="auto" w:fill="auto"/>
            <w:vAlign w:val="center"/>
            <w:hideMark/>
          </w:tcPr>
          <w:p w14:paraId="2CDDC175"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Yes</w:t>
            </w:r>
          </w:p>
        </w:tc>
      </w:tr>
      <w:tr w:rsidR="000E3A94" w:rsidRPr="00594376" w14:paraId="3E05199F" w14:textId="77777777" w:rsidTr="00AD715B">
        <w:trPr>
          <w:trHeight w:val="340"/>
        </w:trPr>
        <w:tc>
          <w:tcPr>
            <w:tcW w:w="2000" w:type="pct"/>
            <w:tcBorders>
              <w:top w:val="nil"/>
              <w:left w:val="nil"/>
              <w:bottom w:val="nil"/>
              <w:right w:val="nil"/>
            </w:tcBorders>
            <w:shd w:val="clear" w:color="auto" w:fill="auto"/>
            <w:vAlign w:val="center"/>
            <w:hideMark/>
          </w:tcPr>
          <w:p w14:paraId="67AB0BC0" w14:textId="77777777" w:rsidR="000E3A94" w:rsidRPr="00594376" w:rsidRDefault="000E3A94" w:rsidP="00AD715B">
            <w:pPr>
              <w:suppressAutoHyphens w:val="0"/>
              <w:spacing w:line="240" w:lineRule="auto"/>
              <w:rPr>
                <w:rFonts w:eastAsia="Times New Roman"/>
                <w:i/>
                <w:iCs/>
                <w:color w:val="000000"/>
                <w:lang w:val="en-KR" w:eastAsia="ko-KR"/>
              </w:rPr>
            </w:pPr>
            <w:r w:rsidRPr="00594376">
              <w:rPr>
                <w:rFonts w:eastAsia="Times New Roman"/>
                <w:i/>
                <w:iCs/>
                <w:color w:val="000000"/>
                <w:lang w:val="en-GB" w:eastAsia="ko-KR"/>
              </w:rPr>
              <w:t>Industry</w:t>
            </w:r>
          </w:p>
        </w:tc>
        <w:tc>
          <w:tcPr>
            <w:tcW w:w="1000" w:type="pct"/>
            <w:tcBorders>
              <w:top w:val="nil"/>
              <w:left w:val="nil"/>
              <w:bottom w:val="nil"/>
              <w:right w:val="nil"/>
            </w:tcBorders>
            <w:shd w:val="clear" w:color="auto" w:fill="auto"/>
            <w:vAlign w:val="center"/>
            <w:hideMark/>
          </w:tcPr>
          <w:p w14:paraId="27EEC0FC"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Yes</w:t>
            </w:r>
          </w:p>
        </w:tc>
        <w:tc>
          <w:tcPr>
            <w:tcW w:w="1000" w:type="pct"/>
            <w:tcBorders>
              <w:top w:val="nil"/>
              <w:left w:val="nil"/>
              <w:bottom w:val="nil"/>
              <w:right w:val="nil"/>
            </w:tcBorders>
            <w:shd w:val="clear" w:color="auto" w:fill="auto"/>
            <w:vAlign w:val="center"/>
            <w:hideMark/>
          </w:tcPr>
          <w:p w14:paraId="0D6E3D2C"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Yes</w:t>
            </w:r>
          </w:p>
        </w:tc>
        <w:tc>
          <w:tcPr>
            <w:tcW w:w="1000" w:type="pct"/>
            <w:tcBorders>
              <w:top w:val="nil"/>
              <w:left w:val="nil"/>
              <w:bottom w:val="nil"/>
              <w:right w:val="nil"/>
            </w:tcBorders>
            <w:shd w:val="clear" w:color="auto" w:fill="auto"/>
            <w:vAlign w:val="center"/>
            <w:hideMark/>
          </w:tcPr>
          <w:p w14:paraId="592D683F"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Yes</w:t>
            </w:r>
          </w:p>
        </w:tc>
      </w:tr>
      <w:tr w:rsidR="000E3A94" w:rsidRPr="00594376" w14:paraId="7AFB0598" w14:textId="77777777" w:rsidTr="00AD715B">
        <w:trPr>
          <w:trHeight w:val="340"/>
        </w:trPr>
        <w:tc>
          <w:tcPr>
            <w:tcW w:w="2000" w:type="pct"/>
            <w:tcBorders>
              <w:top w:val="nil"/>
              <w:left w:val="nil"/>
              <w:bottom w:val="nil"/>
              <w:right w:val="nil"/>
            </w:tcBorders>
            <w:shd w:val="clear" w:color="auto" w:fill="auto"/>
            <w:vAlign w:val="center"/>
            <w:hideMark/>
          </w:tcPr>
          <w:p w14:paraId="64B4AF58" w14:textId="77777777" w:rsidR="000E3A94" w:rsidRPr="00594376" w:rsidRDefault="000E3A94" w:rsidP="00AD715B">
            <w:pPr>
              <w:suppressAutoHyphens w:val="0"/>
              <w:spacing w:line="240" w:lineRule="auto"/>
              <w:rPr>
                <w:rFonts w:eastAsia="Times New Roman"/>
                <w:i/>
                <w:iCs/>
                <w:color w:val="000000"/>
                <w:lang w:val="en-KR" w:eastAsia="ko-KR"/>
              </w:rPr>
            </w:pPr>
            <w:r w:rsidRPr="00594376">
              <w:rPr>
                <w:rFonts w:eastAsia="Times New Roman"/>
                <w:i/>
                <w:iCs/>
                <w:color w:val="000000"/>
                <w:lang w:val="en-GB" w:eastAsia="ko-KR"/>
              </w:rPr>
              <w:t xml:space="preserve">Year </w:t>
            </w:r>
            <w:r w:rsidRPr="00594376">
              <w:rPr>
                <w:rFonts w:ascii="Symbol" w:eastAsia="Times New Roman" w:hAnsi="Symbol"/>
                <w:i/>
                <w:iCs/>
                <w:color w:val="000000"/>
                <w:lang w:val="en-GB" w:eastAsia="ko-KR"/>
              </w:rPr>
              <w:t>´</w:t>
            </w:r>
            <w:r w:rsidRPr="00594376">
              <w:rPr>
                <w:rFonts w:eastAsia="Times New Roman"/>
                <w:i/>
                <w:iCs/>
                <w:color w:val="000000"/>
                <w:lang w:val="en-GB" w:eastAsia="ko-KR"/>
              </w:rPr>
              <w:t xml:space="preserve"> Industry</w:t>
            </w:r>
          </w:p>
        </w:tc>
        <w:tc>
          <w:tcPr>
            <w:tcW w:w="1000" w:type="pct"/>
            <w:tcBorders>
              <w:top w:val="nil"/>
              <w:left w:val="nil"/>
              <w:bottom w:val="nil"/>
              <w:right w:val="nil"/>
            </w:tcBorders>
            <w:shd w:val="clear" w:color="auto" w:fill="auto"/>
            <w:vAlign w:val="center"/>
            <w:hideMark/>
          </w:tcPr>
          <w:p w14:paraId="02B7A0DC"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Yes</w:t>
            </w:r>
          </w:p>
        </w:tc>
        <w:tc>
          <w:tcPr>
            <w:tcW w:w="1000" w:type="pct"/>
            <w:tcBorders>
              <w:top w:val="nil"/>
              <w:left w:val="nil"/>
              <w:bottom w:val="nil"/>
              <w:right w:val="nil"/>
            </w:tcBorders>
            <w:shd w:val="clear" w:color="auto" w:fill="auto"/>
            <w:vAlign w:val="center"/>
            <w:hideMark/>
          </w:tcPr>
          <w:p w14:paraId="59A2BBE3"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Yes</w:t>
            </w:r>
          </w:p>
        </w:tc>
        <w:tc>
          <w:tcPr>
            <w:tcW w:w="1000" w:type="pct"/>
            <w:tcBorders>
              <w:top w:val="nil"/>
              <w:left w:val="nil"/>
              <w:bottom w:val="nil"/>
              <w:right w:val="nil"/>
            </w:tcBorders>
            <w:shd w:val="clear" w:color="auto" w:fill="auto"/>
            <w:vAlign w:val="center"/>
            <w:hideMark/>
          </w:tcPr>
          <w:p w14:paraId="530ED480"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Yes</w:t>
            </w:r>
          </w:p>
        </w:tc>
      </w:tr>
      <w:tr w:rsidR="000E3A94" w:rsidRPr="00594376" w14:paraId="1B04C00C" w14:textId="77777777" w:rsidTr="00AD715B">
        <w:trPr>
          <w:trHeight w:val="340"/>
        </w:trPr>
        <w:tc>
          <w:tcPr>
            <w:tcW w:w="2000" w:type="pct"/>
            <w:tcBorders>
              <w:top w:val="nil"/>
              <w:left w:val="nil"/>
              <w:bottom w:val="nil"/>
              <w:right w:val="nil"/>
            </w:tcBorders>
            <w:shd w:val="clear" w:color="auto" w:fill="auto"/>
            <w:vAlign w:val="center"/>
            <w:hideMark/>
          </w:tcPr>
          <w:p w14:paraId="0B1282EC" w14:textId="77777777" w:rsidR="000E3A94" w:rsidRPr="00594376" w:rsidRDefault="000E3A94" w:rsidP="00AD715B">
            <w:pPr>
              <w:suppressAutoHyphens w:val="0"/>
              <w:spacing w:line="240" w:lineRule="auto"/>
              <w:rPr>
                <w:rFonts w:eastAsia="Times New Roman"/>
                <w:color w:val="000000"/>
                <w:lang w:val="en-KR" w:eastAsia="ko-KR"/>
              </w:rPr>
            </w:pPr>
            <w:r w:rsidRPr="00594376">
              <w:rPr>
                <w:rFonts w:eastAsia="Times New Roman"/>
                <w:color w:val="000000"/>
                <w:lang w:val="en-GB" w:eastAsia="ko-KR"/>
              </w:rPr>
              <w:t>Observations</w:t>
            </w:r>
          </w:p>
        </w:tc>
        <w:tc>
          <w:tcPr>
            <w:tcW w:w="1000" w:type="pct"/>
            <w:tcBorders>
              <w:top w:val="nil"/>
              <w:left w:val="nil"/>
              <w:bottom w:val="nil"/>
              <w:right w:val="nil"/>
            </w:tcBorders>
            <w:shd w:val="clear" w:color="auto" w:fill="auto"/>
            <w:vAlign w:val="center"/>
            <w:hideMark/>
          </w:tcPr>
          <w:p w14:paraId="60353E05"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20069</w:t>
            </w:r>
          </w:p>
        </w:tc>
        <w:tc>
          <w:tcPr>
            <w:tcW w:w="1000" w:type="pct"/>
            <w:tcBorders>
              <w:top w:val="nil"/>
              <w:left w:val="nil"/>
              <w:bottom w:val="nil"/>
              <w:right w:val="nil"/>
            </w:tcBorders>
            <w:shd w:val="clear" w:color="auto" w:fill="auto"/>
            <w:vAlign w:val="center"/>
            <w:hideMark/>
          </w:tcPr>
          <w:p w14:paraId="75993F0C"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24803</w:t>
            </w:r>
          </w:p>
        </w:tc>
        <w:tc>
          <w:tcPr>
            <w:tcW w:w="1000" w:type="pct"/>
            <w:tcBorders>
              <w:top w:val="nil"/>
              <w:left w:val="nil"/>
              <w:bottom w:val="nil"/>
              <w:right w:val="nil"/>
            </w:tcBorders>
            <w:shd w:val="clear" w:color="auto" w:fill="auto"/>
            <w:vAlign w:val="center"/>
            <w:hideMark/>
          </w:tcPr>
          <w:p w14:paraId="1314AB85"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16274</w:t>
            </w:r>
          </w:p>
        </w:tc>
      </w:tr>
      <w:tr w:rsidR="000E3A94" w:rsidRPr="00594376" w14:paraId="1F52E7E0" w14:textId="77777777" w:rsidTr="00AD715B">
        <w:trPr>
          <w:trHeight w:val="340"/>
        </w:trPr>
        <w:tc>
          <w:tcPr>
            <w:tcW w:w="2000" w:type="pct"/>
            <w:tcBorders>
              <w:top w:val="nil"/>
              <w:left w:val="nil"/>
              <w:bottom w:val="nil"/>
              <w:right w:val="nil"/>
            </w:tcBorders>
            <w:shd w:val="clear" w:color="auto" w:fill="auto"/>
            <w:vAlign w:val="center"/>
            <w:hideMark/>
          </w:tcPr>
          <w:p w14:paraId="20483EB7" w14:textId="77777777" w:rsidR="000E3A94" w:rsidRPr="00594376" w:rsidRDefault="000E3A94" w:rsidP="00AD715B">
            <w:pPr>
              <w:suppressAutoHyphens w:val="0"/>
              <w:spacing w:line="240" w:lineRule="auto"/>
              <w:rPr>
                <w:rFonts w:eastAsia="Times New Roman"/>
                <w:color w:val="000000"/>
                <w:lang w:val="en-KR" w:eastAsia="ko-KR"/>
              </w:rPr>
            </w:pPr>
            <w:r w:rsidRPr="00594376">
              <w:rPr>
                <w:rFonts w:eastAsia="Times New Roman"/>
                <w:color w:val="000000"/>
                <w:lang w:val="en-GB" w:eastAsia="ko-KR"/>
              </w:rPr>
              <w:t>R-squared</w:t>
            </w:r>
          </w:p>
        </w:tc>
        <w:tc>
          <w:tcPr>
            <w:tcW w:w="1000" w:type="pct"/>
            <w:tcBorders>
              <w:top w:val="nil"/>
              <w:left w:val="nil"/>
              <w:bottom w:val="nil"/>
              <w:right w:val="nil"/>
            </w:tcBorders>
            <w:shd w:val="clear" w:color="auto" w:fill="auto"/>
            <w:vAlign w:val="center"/>
            <w:hideMark/>
          </w:tcPr>
          <w:p w14:paraId="0E9AA85B"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0.327</w:t>
            </w:r>
          </w:p>
        </w:tc>
        <w:tc>
          <w:tcPr>
            <w:tcW w:w="1000" w:type="pct"/>
            <w:tcBorders>
              <w:top w:val="nil"/>
              <w:left w:val="nil"/>
              <w:bottom w:val="nil"/>
              <w:right w:val="nil"/>
            </w:tcBorders>
            <w:shd w:val="clear" w:color="auto" w:fill="auto"/>
            <w:vAlign w:val="center"/>
            <w:hideMark/>
          </w:tcPr>
          <w:p w14:paraId="5E397589"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0.294</w:t>
            </w:r>
          </w:p>
        </w:tc>
        <w:tc>
          <w:tcPr>
            <w:tcW w:w="1000" w:type="pct"/>
            <w:tcBorders>
              <w:top w:val="nil"/>
              <w:left w:val="nil"/>
              <w:bottom w:val="nil"/>
              <w:right w:val="nil"/>
            </w:tcBorders>
            <w:shd w:val="clear" w:color="auto" w:fill="auto"/>
            <w:vAlign w:val="center"/>
            <w:hideMark/>
          </w:tcPr>
          <w:p w14:paraId="5D5EF7BD"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0.338</w:t>
            </w:r>
          </w:p>
        </w:tc>
      </w:tr>
      <w:tr w:rsidR="000E3A94" w:rsidRPr="00594376" w14:paraId="021DAC0B" w14:textId="77777777" w:rsidTr="00AD715B">
        <w:trPr>
          <w:trHeight w:val="340"/>
        </w:trPr>
        <w:tc>
          <w:tcPr>
            <w:tcW w:w="2000" w:type="pct"/>
            <w:tcBorders>
              <w:top w:val="nil"/>
              <w:left w:val="nil"/>
              <w:bottom w:val="single" w:sz="4" w:space="0" w:color="auto"/>
              <w:right w:val="nil"/>
            </w:tcBorders>
            <w:shd w:val="clear" w:color="auto" w:fill="auto"/>
            <w:vAlign w:val="center"/>
            <w:hideMark/>
          </w:tcPr>
          <w:p w14:paraId="4A964A86" w14:textId="77777777" w:rsidR="000E3A94" w:rsidRPr="00594376" w:rsidRDefault="000E3A94" w:rsidP="00AD715B">
            <w:pPr>
              <w:suppressAutoHyphens w:val="0"/>
              <w:spacing w:line="240" w:lineRule="auto"/>
              <w:rPr>
                <w:rFonts w:eastAsia="Times New Roman"/>
                <w:color w:val="000000"/>
                <w:lang w:val="en-KR" w:eastAsia="ko-KR"/>
              </w:rPr>
            </w:pPr>
            <w:r w:rsidRPr="00594376">
              <w:rPr>
                <w:rFonts w:eastAsia="Times New Roman"/>
                <w:color w:val="000000"/>
                <w:lang w:val="en-GB" w:eastAsia="ko-KR"/>
              </w:rPr>
              <w:t>Adjusted R-squared</w:t>
            </w:r>
          </w:p>
        </w:tc>
        <w:tc>
          <w:tcPr>
            <w:tcW w:w="1000" w:type="pct"/>
            <w:tcBorders>
              <w:top w:val="nil"/>
              <w:left w:val="nil"/>
              <w:bottom w:val="single" w:sz="4" w:space="0" w:color="auto"/>
              <w:right w:val="nil"/>
            </w:tcBorders>
            <w:shd w:val="clear" w:color="auto" w:fill="auto"/>
            <w:vAlign w:val="center"/>
            <w:hideMark/>
          </w:tcPr>
          <w:p w14:paraId="02B5E1D5"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0.309</w:t>
            </w:r>
          </w:p>
        </w:tc>
        <w:tc>
          <w:tcPr>
            <w:tcW w:w="1000" w:type="pct"/>
            <w:tcBorders>
              <w:top w:val="nil"/>
              <w:left w:val="nil"/>
              <w:bottom w:val="single" w:sz="4" w:space="0" w:color="auto"/>
              <w:right w:val="nil"/>
            </w:tcBorders>
            <w:shd w:val="clear" w:color="auto" w:fill="auto"/>
            <w:vAlign w:val="center"/>
            <w:hideMark/>
          </w:tcPr>
          <w:p w14:paraId="16A5521E"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0.266</w:t>
            </w:r>
          </w:p>
        </w:tc>
        <w:tc>
          <w:tcPr>
            <w:tcW w:w="1000" w:type="pct"/>
            <w:tcBorders>
              <w:top w:val="nil"/>
              <w:left w:val="nil"/>
              <w:bottom w:val="single" w:sz="4" w:space="0" w:color="auto"/>
              <w:right w:val="nil"/>
            </w:tcBorders>
            <w:shd w:val="clear" w:color="auto" w:fill="auto"/>
            <w:vAlign w:val="center"/>
            <w:hideMark/>
          </w:tcPr>
          <w:p w14:paraId="5F4C030B" w14:textId="77777777" w:rsidR="000E3A94" w:rsidRPr="00594376" w:rsidRDefault="000E3A94" w:rsidP="00AD715B">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0.309</w:t>
            </w:r>
          </w:p>
        </w:tc>
      </w:tr>
    </w:tbl>
    <w:p w14:paraId="475DDCD1" w14:textId="77777777" w:rsidR="000E3A94" w:rsidRDefault="000E3A94" w:rsidP="000E3A94">
      <w:pPr>
        <w:rPr>
          <w:color w:val="000000" w:themeColor="text1"/>
        </w:rPr>
      </w:pPr>
      <w:r w:rsidRPr="00172AD7">
        <w:rPr>
          <w:i/>
          <w:iCs/>
          <w:color w:val="000000" w:themeColor="text1"/>
        </w:rPr>
        <w:t xml:space="preserve">Note. </w:t>
      </w:r>
      <w:r w:rsidRPr="00172AD7">
        <w:rPr>
          <w:color w:val="000000" w:themeColor="text1"/>
        </w:rPr>
        <w:t>Standard errors in parentheses</w:t>
      </w:r>
      <w:r>
        <w:rPr>
          <w:color w:val="000000" w:themeColor="text1"/>
        </w:rPr>
        <w:t xml:space="preserve">. </w:t>
      </w:r>
      <w:r>
        <w:rPr>
          <w:color w:val="000000" w:themeColor="text1"/>
        </w:rPr>
        <w:br/>
      </w:r>
      <w:r w:rsidRPr="00172AD7">
        <w:rPr>
          <w:color w:val="000000" w:themeColor="text1"/>
        </w:rPr>
        <w:t>*** p&lt;0.01, ** p&lt;0.05, * p&lt;0.1</w:t>
      </w:r>
    </w:p>
    <w:p w14:paraId="76ED07F4" w14:textId="77777777" w:rsidR="000E3A94" w:rsidRPr="00172AD7" w:rsidRDefault="000E3A94" w:rsidP="000E3A94">
      <w:pPr>
        <w:rPr>
          <w:i/>
          <w:iCs/>
          <w:color w:val="000000" w:themeColor="text1"/>
        </w:rPr>
      </w:pPr>
    </w:p>
    <w:p w14:paraId="7E571E2A" w14:textId="77777777" w:rsidR="000E3A94" w:rsidRDefault="000E3A94" w:rsidP="000E3A94">
      <w:pPr>
        <w:rPr>
          <w:b/>
          <w:bCs/>
          <w:color w:val="000000" w:themeColor="text1"/>
        </w:rPr>
        <w:sectPr w:rsidR="000E3A94" w:rsidSect="000E3A94">
          <w:pgSz w:w="12240" w:h="15840" w:code="1"/>
          <w:pgMar w:top="1440" w:right="1440" w:bottom="1440" w:left="1440" w:header="720" w:footer="720" w:gutter="0"/>
          <w:pgNumType w:start="1"/>
          <w:cols w:space="720"/>
          <w:docGrid w:linePitch="360"/>
        </w:sectPr>
      </w:pPr>
    </w:p>
    <w:p w14:paraId="6F2D1B21" w14:textId="77777777" w:rsidR="000E3A94" w:rsidRPr="00172AD7" w:rsidRDefault="000E3A94" w:rsidP="000E3A94">
      <w:pPr>
        <w:rPr>
          <w:b/>
          <w:bCs/>
          <w:color w:val="000000" w:themeColor="text1"/>
        </w:rPr>
      </w:pPr>
      <w:r w:rsidRPr="00172AD7">
        <w:rPr>
          <w:b/>
          <w:bCs/>
          <w:color w:val="000000" w:themeColor="text1"/>
        </w:rPr>
        <w:lastRenderedPageBreak/>
        <w:t xml:space="preserve">Table </w:t>
      </w:r>
      <w:r>
        <w:rPr>
          <w:b/>
          <w:bCs/>
          <w:color w:val="000000" w:themeColor="text1"/>
        </w:rPr>
        <w:t>7</w:t>
      </w:r>
    </w:p>
    <w:p w14:paraId="3076B428" w14:textId="77777777" w:rsidR="000E3A94" w:rsidRPr="00172AD7" w:rsidRDefault="000E3A94" w:rsidP="000E3A94">
      <w:pPr>
        <w:rPr>
          <w:i/>
          <w:iCs/>
          <w:color w:val="000000" w:themeColor="text1"/>
        </w:rPr>
      </w:pPr>
      <w:r w:rsidRPr="00164B0C">
        <w:rPr>
          <w:i/>
          <w:iCs/>
          <w:color w:val="000000" w:themeColor="text1"/>
        </w:rPr>
        <w:t>Two Stages Least Square with Instrumental Variable</w:t>
      </w:r>
    </w:p>
    <w:tbl>
      <w:tblPr>
        <w:tblW w:w="5000" w:type="pct"/>
        <w:tblLook w:val="04A0" w:firstRow="1" w:lastRow="0" w:firstColumn="1" w:lastColumn="0" w:noHBand="0" w:noVBand="1"/>
      </w:tblPr>
      <w:tblGrid>
        <w:gridCol w:w="4536"/>
        <w:gridCol w:w="2520"/>
        <w:gridCol w:w="2520"/>
      </w:tblGrid>
      <w:tr w:rsidR="000E3A94" w:rsidRPr="00F37A73" w14:paraId="519CACB3" w14:textId="77777777" w:rsidTr="00AD715B">
        <w:trPr>
          <w:trHeight w:val="340"/>
        </w:trPr>
        <w:tc>
          <w:tcPr>
            <w:tcW w:w="2368" w:type="pct"/>
            <w:tcBorders>
              <w:top w:val="single" w:sz="4" w:space="0" w:color="auto"/>
              <w:left w:val="nil"/>
              <w:bottom w:val="nil"/>
              <w:right w:val="nil"/>
            </w:tcBorders>
            <w:shd w:val="clear" w:color="auto" w:fill="auto"/>
            <w:vAlign w:val="center"/>
            <w:hideMark/>
          </w:tcPr>
          <w:p w14:paraId="54EA1D0D" w14:textId="77777777" w:rsidR="000E3A94" w:rsidRPr="00F37A73" w:rsidRDefault="000E3A94" w:rsidP="00AD715B">
            <w:pPr>
              <w:suppressAutoHyphens w:val="0"/>
              <w:spacing w:line="240" w:lineRule="auto"/>
              <w:rPr>
                <w:rFonts w:eastAsia="Times New Roman"/>
                <w:color w:val="000000"/>
                <w:lang w:val="en-KR" w:eastAsia="ko-KR"/>
              </w:rPr>
            </w:pPr>
            <w:r w:rsidRPr="00F37A73">
              <w:rPr>
                <w:rFonts w:eastAsia="Times New Roman"/>
                <w:color w:val="000000"/>
                <w:lang w:val="en-GB" w:eastAsia="ko-KR"/>
              </w:rPr>
              <w:t> </w:t>
            </w:r>
          </w:p>
        </w:tc>
        <w:tc>
          <w:tcPr>
            <w:tcW w:w="1316" w:type="pct"/>
            <w:tcBorders>
              <w:top w:val="single" w:sz="4" w:space="0" w:color="auto"/>
              <w:left w:val="nil"/>
              <w:bottom w:val="nil"/>
              <w:right w:val="nil"/>
            </w:tcBorders>
            <w:shd w:val="clear" w:color="auto" w:fill="auto"/>
            <w:vAlign w:val="center"/>
            <w:hideMark/>
          </w:tcPr>
          <w:p w14:paraId="3469503E"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KR" w:eastAsia="ko-KR"/>
              </w:rPr>
              <w:t>(1)</w:t>
            </w:r>
          </w:p>
        </w:tc>
        <w:tc>
          <w:tcPr>
            <w:tcW w:w="1316" w:type="pct"/>
            <w:tcBorders>
              <w:top w:val="single" w:sz="4" w:space="0" w:color="auto"/>
              <w:left w:val="nil"/>
              <w:bottom w:val="nil"/>
              <w:right w:val="nil"/>
            </w:tcBorders>
            <w:shd w:val="clear" w:color="auto" w:fill="auto"/>
            <w:vAlign w:val="center"/>
            <w:hideMark/>
          </w:tcPr>
          <w:p w14:paraId="4738302B"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eastAsia="ko-KR"/>
              </w:rPr>
              <w:t>(2)</w:t>
            </w:r>
          </w:p>
        </w:tc>
      </w:tr>
      <w:tr w:rsidR="000E3A94" w:rsidRPr="00F37A73" w14:paraId="70B02F58" w14:textId="77777777" w:rsidTr="00AD715B">
        <w:trPr>
          <w:trHeight w:val="340"/>
        </w:trPr>
        <w:tc>
          <w:tcPr>
            <w:tcW w:w="2368" w:type="pct"/>
            <w:tcBorders>
              <w:top w:val="nil"/>
              <w:left w:val="nil"/>
              <w:bottom w:val="single" w:sz="4" w:space="0" w:color="auto"/>
              <w:right w:val="nil"/>
            </w:tcBorders>
            <w:shd w:val="clear" w:color="auto" w:fill="auto"/>
            <w:vAlign w:val="center"/>
            <w:hideMark/>
          </w:tcPr>
          <w:p w14:paraId="029A2905"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VARIABLES</w:t>
            </w:r>
          </w:p>
        </w:tc>
        <w:tc>
          <w:tcPr>
            <w:tcW w:w="1316" w:type="pct"/>
            <w:tcBorders>
              <w:top w:val="nil"/>
              <w:left w:val="nil"/>
              <w:bottom w:val="single" w:sz="4" w:space="0" w:color="auto"/>
              <w:right w:val="nil"/>
            </w:tcBorders>
            <w:shd w:val="clear" w:color="auto" w:fill="auto"/>
            <w:vAlign w:val="center"/>
            <w:hideMark/>
          </w:tcPr>
          <w:p w14:paraId="6F245E0F" w14:textId="77777777" w:rsidR="000E3A94" w:rsidRPr="00F37A73" w:rsidRDefault="000E3A94" w:rsidP="00AD715B">
            <w:pPr>
              <w:suppressAutoHyphens w:val="0"/>
              <w:spacing w:line="240" w:lineRule="auto"/>
              <w:jc w:val="center"/>
              <w:rPr>
                <w:rFonts w:eastAsia="Times New Roman"/>
                <w:i/>
                <w:iCs/>
                <w:color w:val="000000"/>
                <w:lang w:val="en-KR" w:eastAsia="ko-KR"/>
              </w:rPr>
            </w:pPr>
            <w:r w:rsidRPr="00F37A73">
              <w:rPr>
                <w:rFonts w:eastAsia="Times New Roman"/>
                <w:i/>
                <w:iCs/>
                <w:color w:val="000000"/>
                <w:lang w:val="en-GB" w:eastAsia="ko-KR"/>
              </w:rPr>
              <w:t>Total</w:t>
            </w:r>
          </w:p>
        </w:tc>
        <w:tc>
          <w:tcPr>
            <w:tcW w:w="1316" w:type="pct"/>
            <w:tcBorders>
              <w:top w:val="nil"/>
              <w:left w:val="nil"/>
              <w:bottom w:val="single" w:sz="4" w:space="0" w:color="auto"/>
              <w:right w:val="nil"/>
            </w:tcBorders>
            <w:shd w:val="clear" w:color="auto" w:fill="auto"/>
            <w:vAlign w:val="center"/>
            <w:hideMark/>
          </w:tcPr>
          <w:p w14:paraId="61395CF6" w14:textId="77777777" w:rsidR="000E3A94" w:rsidRPr="00F37A73" w:rsidRDefault="000E3A94" w:rsidP="00AD715B">
            <w:pPr>
              <w:suppressAutoHyphens w:val="0"/>
              <w:spacing w:line="240" w:lineRule="auto"/>
              <w:jc w:val="center"/>
              <w:rPr>
                <w:rFonts w:eastAsia="Times New Roman"/>
                <w:i/>
                <w:iCs/>
                <w:color w:val="000000"/>
                <w:lang w:val="en-KR" w:eastAsia="ko-KR"/>
              </w:rPr>
            </w:pPr>
            <w:proofErr w:type="spellStart"/>
            <w:r w:rsidRPr="00F37A73">
              <w:rPr>
                <w:rFonts w:eastAsia="Times New Roman"/>
                <w:i/>
                <w:iCs/>
                <w:color w:val="000000"/>
                <w:lang w:val="en-GB" w:eastAsia="ko-KR"/>
              </w:rPr>
              <w:t>Degreep</w:t>
            </w:r>
            <w:proofErr w:type="spellEnd"/>
          </w:p>
        </w:tc>
      </w:tr>
      <w:tr w:rsidR="000E3A94" w:rsidRPr="00F37A73" w14:paraId="2933A9BF" w14:textId="77777777" w:rsidTr="00AD715B">
        <w:trPr>
          <w:trHeight w:val="340"/>
        </w:trPr>
        <w:tc>
          <w:tcPr>
            <w:tcW w:w="2368" w:type="pct"/>
            <w:tcBorders>
              <w:top w:val="nil"/>
              <w:left w:val="nil"/>
              <w:bottom w:val="nil"/>
              <w:right w:val="nil"/>
            </w:tcBorders>
            <w:shd w:val="clear" w:color="auto" w:fill="auto"/>
            <w:vAlign w:val="center"/>
            <w:hideMark/>
          </w:tcPr>
          <w:p w14:paraId="321524FA" w14:textId="77777777" w:rsidR="000E3A94" w:rsidRPr="00F37A73" w:rsidRDefault="000E3A94" w:rsidP="00AD715B">
            <w:pPr>
              <w:suppressAutoHyphens w:val="0"/>
              <w:spacing w:line="240" w:lineRule="auto"/>
              <w:rPr>
                <w:rFonts w:eastAsia="Times New Roman"/>
                <w:i/>
                <w:iCs/>
                <w:color w:val="000000"/>
                <w:lang w:val="en-KR" w:eastAsia="ko-KR"/>
              </w:rPr>
            </w:pPr>
            <w:proofErr w:type="spellStart"/>
            <w:r w:rsidRPr="00F37A73">
              <w:rPr>
                <w:rFonts w:eastAsia="Times New Roman"/>
                <w:i/>
                <w:iCs/>
                <w:color w:val="000000"/>
                <w:lang w:val="en-GB" w:eastAsia="ko-KR"/>
              </w:rPr>
              <w:t>IVTotal</w:t>
            </w:r>
            <w:proofErr w:type="spellEnd"/>
          </w:p>
        </w:tc>
        <w:tc>
          <w:tcPr>
            <w:tcW w:w="1316" w:type="pct"/>
            <w:tcBorders>
              <w:top w:val="nil"/>
              <w:left w:val="nil"/>
              <w:bottom w:val="nil"/>
              <w:right w:val="nil"/>
            </w:tcBorders>
            <w:shd w:val="clear" w:color="auto" w:fill="auto"/>
            <w:vAlign w:val="center"/>
            <w:hideMark/>
          </w:tcPr>
          <w:p w14:paraId="703854C6"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0.9777***</w:t>
            </w:r>
          </w:p>
        </w:tc>
        <w:tc>
          <w:tcPr>
            <w:tcW w:w="1316" w:type="pct"/>
            <w:tcBorders>
              <w:top w:val="nil"/>
              <w:left w:val="nil"/>
              <w:bottom w:val="nil"/>
              <w:right w:val="nil"/>
            </w:tcBorders>
            <w:shd w:val="clear" w:color="auto" w:fill="auto"/>
            <w:vAlign w:val="center"/>
            <w:hideMark/>
          </w:tcPr>
          <w:p w14:paraId="3C19147C" w14:textId="77777777" w:rsidR="000E3A94" w:rsidRPr="00F37A73" w:rsidRDefault="000E3A94" w:rsidP="00AD715B">
            <w:pPr>
              <w:suppressAutoHyphens w:val="0"/>
              <w:spacing w:line="240" w:lineRule="auto"/>
              <w:jc w:val="center"/>
              <w:rPr>
                <w:rFonts w:eastAsia="Times New Roman"/>
                <w:color w:val="000000"/>
                <w:lang w:val="en-KR" w:eastAsia="ko-KR"/>
              </w:rPr>
            </w:pPr>
          </w:p>
        </w:tc>
      </w:tr>
      <w:tr w:rsidR="000E3A94" w:rsidRPr="00F37A73" w14:paraId="7DBC0C00" w14:textId="77777777" w:rsidTr="00AD715B">
        <w:trPr>
          <w:trHeight w:val="320"/>
        </w:trPr>
        <w:tc>
          <w:tcPr>
            <w:tcW w:w="2368" w:type="pct"/>
            <w:tcBorders>
              <w:top w:val="nil"/>
              <w:left w:val="nil"/>
              <w:bottom w:val="nil"/>
              <w:right w:val="nil"/>
            </w:tcBorders>
            <w:shd w:val="clear" w:color="auto" w:fill="auto"/>
            <w:vAlign w:val="center"/>
            <w:hideMark/>
          </w:tcPr>
          <w:p w14:paraId="3E03CFEA" w14:textId="77777777" w:rsidR="000E3A94" w:rsidRPr="00F37A73" w:rsidRDefault="000E3A94" w:rsidP="00AD715B">
            <w:pPr>
              <w:suppressAutoHyphens w:val="0"/>
              <w:spacing w:line="240" w:lineRule="auto"/>
              <w:jc w:val="center"/>
              <w:rPr>
                <w:rFonts w:eastAsia="Times New Roman"/>
                <w:sz w:val="20"/>
                <w:szCs w:val="20"/>
                <w:lang w:val="en-KR" w:eastAsia="ko-KR"/>
              </w:rPr>
            </w:pPr>
          </w:p>
        </w:tc>
        <w:tc>
          <w:tcPr>
            <w:tcW w:w="1316" w:type="pct"/>
            <w:tcBorders>
              <w:top w:val="nil"/>
              <w:left w:val="nil"/>
              <w:bottom w:val="nil"/>
              <w:right w:val="nil"/>
            </w:tcBorders>
            <w:shd w:val="clear" w:color="auto" w:fill="auto"/>
            <w:vAlign w:val="center"/>
            <w:hideMark/>
          </w:tcPr>
          <w:p w14:paraId="334C2172"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KR" w:eastAsia="ko-KR"/>
              </w:rPr>
              <w:t>(0.0092)</w:t>
            </w:r>
          </w:p>
        </w:tc>
        <w:tc>
          <w:tcPr>
            <w:tcW w:w="1316" w:type="pct"/>
            <w:tcBorders>
              <w:top w:val="nil"/>
              <w:left w:val="nil"/>
              <w:bottom w:val="nil"/>
              <w:right w:val="nil"/>
            </w:tcBorders>
            <w:shd w:val="clear" w:color="auto" w:fill="auto"/>
            <w:vAlign w:val="center"/>
            <w:hideMark/>
          </w:tcPr>
          <w:p w14:paraId="0AABD94D" w14:textId="77777777" w:rsidR="000E3A94" w:rsidRPr="00F37A73" w:rsidRDefault="000E3A94" w:rsidP="00AD715B">
            <w:pPr>
              <w:suppressAutoHyphens w:val="0"/>
              <w:spacing w:line="240" w:lineRule="auto"/>
              <w:jc w:val="center"/>
              <w:rPr>
                <w:rFonts w:eastAsia="Times New Roman"/>
                <w:color w:val="000000"/>
                <w:lang w:val="en-KR" w:eastAsia="ko-KR"/>
              </w:rPr>
            </w:pPr>
          </w:p>
        </w:tc>
      </w:tr>
      <w:tr w:rsidR="000E3A94" w:rsidRPr="00F37A73" w14:paraId="082349DB" w14:textId="77777777" w:rsidTr="00AD715B">
        <w:trPr>
          <w:trHeight w:val="340"/>
        </w:trPr>
        <w:tc>
          <w:tcPr>
            <w:tcW w:w="2368" w:type="pct"/>
            <w:tcBorders>
              <w:top w:val="nil"/>
              <w:left w:val="nil"/>
              <w:bottom w:val="nil"/>
              <w:right w:val="nil"/>
            </w:tcBorders>
            <w:shd w:val="clear" w:color="auto" w:fill="auto"/>
            <w:vAlign w:val="center"/>
            <w:hideMark/>
          </w:tcPr>
          <w:p w14:paraId="32256293" w14:textId="77777777" w:rsidR="000E3A94" w:rsidRPr="00F37A73" w:rsidRDefault="000E3A94" w:rsidP="00AD715B">
            <w:pPr>
              <w:suppressAutoHyphens w:val="0"/>
              <w:spacing w:line="240" w:lineRule="auto"/>
              <w:rPr>
                <w:rFonts w:eastAsia="Times New Roman"/>
                <w:i/>
                <w:iCs/>
                <w:color w:val="000000"/>
                <w:lang w:val="en-KR" w:eastAsia="ko-KR"/>
              </w:rPr>
            </w:pPr>
            <w:r w:rsidRPr="00F37A73">
              <w:rPr>
                <w:rFonts w:eastAsia="Times New Roman"/>
                <w:i/>
                <w:iCs/>
                <w:color w:val="000000"/>
                <w:lang w:val="en-GB" w:eastAsia="ko-KR"/>
              </w:rPr>
              <w:t>Total</w:t>
            </w:r>
          </w:p>
        </w:tc>
        <w:tc>
          <w:tcPr>
            <w:tcW w:w="1316" w:type="pct"/>
            <w:tcBorders>
              <w:top w:val="nil"/>
              <w:left w:val="nil"/>
              <w:bottom w:val="nil"/>
              <w:right w:val="nil"/>
            </w:tcBorders>
            <w:shd w:val="clear" w:color="auto" w:fill="auto"/>
            <w:vAlign w:val="center"/>
            <w:hideMark/>
          </w:tcPr>
          <w:p w14:paraId="5F435D91" w14:textId="77777777" w:rsidR="000E3A94" w:rsidRPr="00F37A73" w:rsidRDefault="000E3A94" w:rsidP="00AD715B">
            <w:pPr>
              <w:suppressAutoHyphens w:val="0"/>
              <w:spacing w:line="240" w:lineRule="auto"/>
              <w:rPr>
                <w:rFonts w:eastAsia="Times New Roman"/>
                <w:i/>
                <w:iCs/>
                <w:color w:val="000000"/>
                <w:lang w:val="en-KR" w:eastAsia="ko-KR"/>
              </w:rPr>
            </w:pPr>
          </w:p>
        </w:tc>
        <w:tc>
          <w:tcPr>
            <w:tcW w:w="1316" w:type="pct"/>
            <w:tcBorders>
              <w:top w:val="nil"/>
              <w:left w:val="nil"/>
              <w:bottom w:val="nil"/>
              <w:right w:val="nil"/>
            </w:tcBorders>
            <w:shd w:val="clear" w:color="auto" w:fill="auto"/>
            <w:vAlign w:val="center"/>
            <w:hideMark/>
          </w:tcPr>
          <w:p w14:paraId="36697E69"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2.1289***</w:t>
            </w:r>
          </w:p>
        </w:tc>
      </w:tr>
      <w:tr w:rsidR="000E3A94" w:rsidRPr="00F37A73" w14:paraId="58A93422" w14:textId="77777777" w:rsidTr="00AD715B">
        <w:trPr>
          <w:trHeight w:val="320"/>
        </w:trPr>
        <w:tc>
          <w:tcPr>
            <w:tcW w:w="2368" w:type="pct"/>
            <w:tcBorders>
              <w:top w:val="nil"/>
              <w:left w:val="nil"/>
              <w:bottom w:val="nil"/>
              <w:right w:val="nil"/>
            </w:tcBorders>
            <w:shd w:val="clear" w:color="auto" w:fill="auto"/>
            <w:vAlign w:val="center"/>
            <w:hideMark/>
          </w:tcPr>
          <w:p w14:paraId="4CD50384" w14:textId="77777777" w:rsidR="000E3A94" w:rsidRPr="00F37A73" w:rsidRDefault="000E3A94" w:rsidP="00AD715B">
            <w:pPr>
              <w:suppressAutoHyphens w:val="0"/>
              <w:spacing w:line="240" w:lineRule="auto"/>
              <w:jc w:val="center"/>
              <w:rPr>
                <w:rFonts w:eastAsia="Times New Roman"/>
                <w:color w:val="000000"/>
                <w:lang w:val="en-KR" w:eastAsia="ko-KR"/>
              </w:rPr>
            </w:pPr>
          </w:p>
        </w:tc>
        <w:tc>
          <w:tcPr>
            <w:tcW w:w="1316" w:type="pct"/>
            <w:tcBorders>
              <w:top w:val="nil"/>
              <w:left w:val="nil"/>
              <w:bottom w:val="nil"/>
              <w:right w:val="nil"/>
            </w:tcBorders>
            <w:shd w:val="clear" w:color="auto" w:fill="auto"/>
            <w:vAlign w:val="center"/>
            <w:hideMark/>
          </w:tcPr>
          <w:p w14:paraId="22F4B832" w14:textId="77777777" w:rsidR="000E3A94" w:rsidRPr="00F37A73" w:rsidRDefault="000E3A94" w:rsidP="00AD715B">
            <w:pPr>
              <w:suppressAutoHyphens w:val="0"/>
              <w:spacing w:line="240" w:lineRule="auto"/>
              <w:rPr>
                <w:rFonts w:eastAsia="Times New Roman"/>
                <w:sz w:val="20"/>
                <w:szCs w:val="20"/>
                <w:lang w:val="en-KR" w:eastAsia="ko-KR"/>
              </w:rPr>
            </w:pPr>
          </w:p>
        </w:tc>
        <w:tc>
          <w:tcPr>
            <w:tcW w:w="1316" w:type="pct"/>
            <w:tcBorders>
              <w:top w:val="nil"/>
              <w:left w:val="nil"/>
              <w:bottom w:val="nil"/>
              <w:right w:val="nil"/>
            </w:tcBorders>
            <w:shd w:val="clear" w:color="auto" w:fill="auto"/>
            <w:vAlign w:val="center"/>
            <w:hideMark/>
          </w:tcPr>
          <w:p w14:paraId="214B1674"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KR" w:eastAsia="ko-KR"/>
              </w:rPr>
              <w:t>(0.0744)</w:t>
            </w:r>
          </w:p>
        </w:tc>
      </w:tr>
      <w:tr w:rsidR="000E3A94" w:rsidRPr="00F37A73" w14:paraId="58B1E2C7" w14:textId="77777777" w:rsidTr="00AD715B">
        <w:trPr>
          <w:trHeight w:val="340"/>
        </w:trPr>
        <w:tc>
          <w:tcPr>
            <w:tcW w:w="2368" w:type="pct"/>
            <w:tcBorders>
              <w:top w:val="nil"/>
              <w:left w:val="nil"/>
              <w:bottom w:val="nil"/>
              <w:right w:val="nil"/>
            </w:tcBorders>
            <w:shd w:val="clear" w:color="auto" w:fill="auto"/>
            <w:vAlign w:val="center"/>
            <w:hideMark/>
          </w:tcPr>
          <w:p w14:paraId="6E41EDF1" w14:textId="77777777" w:rsidR="000E3A94" w:rsidRPr="00F37A73" w:rsidRDefault="000E3A94" w:rsidP="00AD715B">
            <w:pPr>
              <w:suppressAutoHyphens w:val="0"/>
              <w:spacing w:line="240" w:lineRule="auto"/>
              <w:rPr>
                <w:rFonts w:eastAsia="Times New Roman"/>
                <w:i/>
                <w:iCs/>
                <w:color w:val="000000"/>
                <w:lang w:val="en-KR" w:eastAsia="ko-KR"/>
              </w:rPr>
            </w:pPr>
            <w:r w:rsidRPr="00F37A73">
              <w:rPr>
                <w:rFonts w:eastAsia="Times New Roman"/>
                <w:i/>
                <w:iCs/>
                <w:color w:val="000000"/>
                <w:lang w:val="en-GB" w:eastAsia="ko-KR"/>
              </w:rPr>
              <w:t>ROAA</w:t>
            </w:r>
          </w:p>
        </w:tc>
        <w:tc>
          <w:tcPr>
            <w:tcW w:w="1316" w:type="pct"/>
            <w:tcBorders>
              <w:top w:val="nil"/>
              <w:left w:val="nil"/>
              <w:bottom w:val="nil"/>
              <w:right w:val="nil"/>
            </w:tcBorders>
            <w:shd w:val="clear" w:color="auto" w:fill="auto"/>
            <w:vAlign w:val="center"/>
            <w:hideMark/>
          </w:tcPr>
          <w:p w14:paraId="72521E79"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-0.029</w:t>
            </w:r>
          </w:p>
        </w:tc>
        <w:tc>
          <w:tcPr>
            <w:tcW w:w="1316" w:type="pct"/>
            <w:tcBorders>
              <w:top w:val="nil"/>
              <w:left w:val="nil"/>
              <w:bottom w:val="nil"/>
              <w:right w:val="nil"/>
            </w:tcBorders>
            <w:shd w:val="clear" w:color="auto" w:fill="auto"/>
            <w:vAlign w:val="center"/>
            <w:hideMark/>
          </w:tcPr>
          <w:p w14:paraId="536805C3"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1.0924***</w:t>
            </w:r>
          </w:p>
        </w:tc>
      </w:tr>
      <w:tr w:rsidR="000E3A94" w:rsidRPr="00F37A73" w14:paraId="69601953" w14:textId="77777777" w:rsidTr="00AD715B">
        <w:trPr>
          <w:trHeight w:val="320"/>
        </w:trPr>
        <w:tc>
          <w:tcPr>
            <w:tcW w:w="2368" w:type="pct"/>
            <w:tcBorders>
              <w:top w:val="nil"/>
              <w:left w:val="nil"/>
              <w:bottom w:val="nil"/>
              <w:right w:val="nil"/>
            </w:tcBorders>
            <w:shd w:val="clear" w:color="auto" w:fill="auto"/>
            <w:vAlign w:val="center"/>
            <w:hideMark/>
          </w:tcPr>
          <w:p w14:paraId="3B55DD6F" w14:textId="77777777" w:rsidR="000E3A94" w:rsidRPr="00F37A73" w:rsidRDefault="000E3A94" w:rsidP="00AD715B">
            <w:pPr>
              <w:suppressAutoHyphens w:val="0"/>
              <w:spacing w:line="240" w:lineRule="auto"/>
              <w:jc w:val="center"/>
              <w:rPr>
                <w:rFonts w:eastAsia="Times New Roman"/>
                <w:color w:val="000000"/>
                <w:lang w:val="en-KR" w:eastAsia="ko-KR"/>
              </w:rPr>
            </w:pPr>
          </w:p>
        </w:tc>
        <w:tc>
          <w:tcPr>
            <w:tcW w:w="1316" w:type="pct"/>
            <w:tcBorders>
              <w:top w:val="nil"/>
              <w:left w:val="nil"/>
              <w:bottom w:val="nil"/>
              <w:right w:val="nil"/>
            </w:tcBorders>
            <w:shd w:val="clear" w:color="auto" w:fill="auto"/>
            <w:vAlign w:val="center"/>
            <w:hideMark/>
          </w:tcPr>
          <w:p w14:paraId="681CCFCD"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KR" w:eastAsia="ko-KR"/>
              </w:rPr>
              <w:t>(0.0306)</w:t>
            </w:r>
          </w:p>
        </w:tc>
        <w:tc>
          <w:tcPr>
            <w:tcW w:w="1316" w:type="pct"/>
            <w:tcBorders>
              <w:top w:val="nil"/>
              <w:left w:val="nil"/>
              <w:bottom w:val="nil"/>
              <w:right w:val="nil"/>
            </w:tcBorders>
            <w:shd w:val="clear" w:color="auto" w:fill="auto"/>
            <w:vAlign w:val="center"/>
            <w:hideMark/>
          </w:tcPr>
          <w:p w14:paraId="345CDB91"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KR" w:eastAsia="ko-KR"/>
              </w:rPr>
              <w:t>(0.2423)</w:t>
            </w:r>
          </w:p>
        </w:tc>
      </w:tr>
      <w:tr w:rsidR="000E3A94" w:rsidRPr="00F37A73" w14:paraId="6328FF47" w14:textId="77777777" w:rsidTr="00AD715B">
        <w:trPr>
          <w:trHeight w:val="340"/>
        </w:trPr>
        <w:tc>
          <w:tcPr>
            <w:tcW w:w="2368" w:type="pct"/>
            <w:tcBorders>
              <w:top w:val="nil"/>
              <w:left w:val="nil"/>
              <w:bottom w:val="nil"/>
              <w:right w:val="nil"/>
            </w:tcBorders>
            <w:shd w:val="clear" w:color="auto" w:fill="auto"/>
            <w:vAlign w:val="center"/>
            <w:hideMark/>
          </w:tcPr>
          <w:p w14:paraId="26B86237" w14:textId="77777777" w:rsidR="000E3A94" w:rsidRPr="00F37A73" w:rsidRDefault="000E3A94" w:rsidP="00AD715B">
            <w:pPr>
              <w:suppressAutoHyphens w:val="0"/>
              <w:spacing w:line="240" w:lineRule="auto"/>
              <w:rPr>
                <w:rFonts w:eastAsia="Times New Roman"/>
                <w:i/>
                <w:iCs/>
                <w:color w:val="000000"/>
                <w:lang w:val="en-KR" w:eastAsia="ko-KR"/>
              </w:rPr>
            </w:pPr>
            <w:r w:rsidRPr="00F37A73">
              <w:rPr>
                <w:rFonts w:eastAsia="Times New Roman"/>
                <w:i/>
                <w:iCs/>
                <w:color w:val="000000"/>
                <w:lang w:val="en-GB" w:eastAsia="ko-KR"/>
              </w:rPr>
              <w:t>Solvency</w:t>
            </w:r>
          </w:p>
        </w:tc>
        <w:tc>
          <w:tcPr>
            <w:tcW w:w="1316" w:type="pct"/>
            <w:tcBorders>
              <w:top w:val="nil"/>
              <w:left w:val="nil"/>
              <w:bottom w:val="nil"/>
              <w:right w:val="nil"/>
            </w:tcBorders>
            <w:shd w:val="clear" w:color="auto" w:fill="auto"/>
            <w:vAlign w:val="center"/>
            <w:hideMark/>
          </w:tcPr>
          <w:p w14:paraId="0A9CA263"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-0.0054*</w:t>
            </w:r>
          </w:p>
        </w:tc>
        <w:tc>
          <w:tcPr>
            <w:tcW w:w="1316" w:type="pct"/>
            <w:tcBorders>
              <w:top w:val="nil"/>
              <w:left w:val="nil"/>
              <w:bottom w:val="nil"/>
              <w:right w:val="nil"/>
            </w:tcBorders>
            <w:shd w:val="clear" w:color="auto" w:fill="auto"/>
            <w:vAlign w:val="center"/>
            <w:hideMark/>
          </w:tcPr>
          <w:p w14:paraId="360E719A"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-0.0165</w:t>
            </w:r>
          </w:p>
        </w:tc>
      </w:tr>
      <w:tr w:rsidR="000E3A94" w:rsidRPr="00F37A73" w14:paraId="350265F0" w14:textId="77777777" w:rsidTr="00AD715B">
        <w:trPr>
          <w:trHeight w:val="320"/>
        </w:trPr>
        <w:tc>
          <w:tcPr>
            <w:tcW w:w="2368" w:type="pct"/>
            <w:tcBorders>
              <w:top w:val="nil"/>
              <w:left w:val="nil"/>
              <w:bottom w:val="nil"/>
              <w:right w:val="nil"/>
            </w:tcBorders>
            <w:shd w:val="clear" w:color="auto" w:fill="auto"/>
            <w:vAlign w:val="center"/>
            <w:hideMark/>
          </w:tcPr>
          <w:p w14:paraId="36D63AEF" w14:textId="77777777" w:rsidR="000E3A94" w:rsidRPr="00F37A73" w:rsidRDefault="000E3A94" w:rsidP="00AD715B">
            <w:pPr>
              <w:suppressAutoHyphens w:val="0"/>
              <w:spacing w:line="240" w:lineRule="auto"/>
              <w:jc w:val="center"/>
              <w:rPr>
                <w:rFonts w:eastAsia="Times New Roman"/>
                <w:color w:val="000000"/>
                <w:lang w:val="en-KR" w:eastAsia="ko-KR"/>
              </w:rPr>
            </w:pPr>
          </w:p>
        </w:tc>
        <w:tc>
          <w:tcPr>
            <w:tcW w:w="1316" w:type="pct"/>
            <w:tcBorders>
              <w:top w:val="nil"/>
              <w:left w:val="nil"/>
              <w:bottom w:val="nil"/>
              <w:right w:val="nil"/>
            </w:tcBorders>
            <w:shd w:val="clear" w:color="auto" w:fill="auto"/>
            <w:vAlign w:val="center"/>
            <w:hideMark/>
          </w:tcPr>
          <w:p w14:paraId="539FAB21"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KR" w:eastAsia="ko-KR"/>
              </w:rPr>
              <w:t>(0.0029)</w:t>
            </w:r>
          </w:p>
        </w:tc>
        <w:tc>
          <w:tcPr>
            <w:tcW w:w="1316" w:type="pct"/>
            <w:tcBorders>
              <w:top w:val="nil"/>
              <w:left w:val="nil"/>
              <w:bottom w:val="nil"/>
              <w:right w:val="nil"/>
            </w:tcBorders>
            <w:shd w:val="clear" w:color="auto" w:fill="auto"/>
            <w:vAlign w:val="center"/>
            <w:hideMark/>
          </w:tcPr>
          <w:p w14:paraId="2F74F5B1"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KR" w:eastAsia="ko-KR"/>
              </w:rPr>
              <w:t>(0.0233)</w:t>
            </w:r>
          </w:p>
        </w:tc>
      </w:tr>
      <w:tr w:rsidR="000E3A94" w:rsidRPr="00F37A73" w14:paraId="1B10F0B5" w14:textId="77777777" w:rsidTr="00AD715B">
        <w:trPr>
          <w:trHeight w:val="340"/>
        </w:trPr>
        <w:tc>
          <w:tcPr>
            <w:tcW w:w="2368" w:type="pct"/>
            <w:tcBorders>
              <w:top w:val="nil"/>
              <w:left w:val="nil"/>
              <w:bottom w:val="nil"/>
              <w:right w:val="nil"/>
            </w:tcBorders>
            <w:shd w:val="clear" w:color="auto" w:fill="auto"/>
            <w:vAlign w:val="center"/>
            <w:hideMark/>
          </w:tcPr>
          <w:p w14:paraId="380D6B79" w14:textId="77777777" w:rsidR="000E3A94" w:rsidRPr="00F37A73" w:rsidRDefault="000E3A94" w:rsidP="00AD715B">
            <w:pPr>
              <w:suppressAutoHyphens w:val="0"/>
              <w:spacing w:line="240" w:lineRule="auto"/>
              <w:rPr>
                <w:rFonts w:eastAsia="Times New Roman"/>
                <w:i/>
                <w:iCs/>
                <w:color w:val="000000"/>
                <w:lang w:val="en-KR" w:eastAsia="ko-KR"/>
              </w:rPr>
            </w:pPr>
            <w:proofErr w:type="spellStart"/>
            <w:r w:rsidRPr="00F37A73">
              <w:rPr>
                <w:rFonts w:eastAsia="Times New Roman"/>
                <w:i/>
                <w:iCs/>
                <w:color w:val="000000"/>
                <w:lang w:val="en-GB" w:eastAsia="ko-KR"/>
              </w:rPr>
              <w:t>AgeF</w:t>
            </w:r>
            <w:proofErr w:type="spellEnd"/>
          </w:p>
        </w:tc>
        <w:tc>
          <w:tcPr>
            <w:tcW w:w="1316" w:type="pct"/>
            <w:tcBorders>
              <w:top w:val="nil"/>
              <w:left w:val="nil"/>
              <w:bottom w:val="nil"/>
              <w:right w:val="nil"/>
            </w:tcBorders>
            <w:shd w:val="clear" w:color="auto" w:fill="auto"/>
            <w:vAlign w:val="center"/>
            <w:hideMark/>
          </w:tcPr>
          <w:p w14:paraId="75E0DF24"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0.0313***</w:t>
            </w:r>
          </w:p>
        </w:tc>
        <w:tc>
          <w:tcPr>
            <w:tcW w:w="1316" w:type="pct"/>
            <w:tcBorders>
              <w:top w:val="nil"/>
              <w:left w:val="nil"/>
              <w:bottom w:val="nil"/>
              <w:right w:val="nil"/>
            </w:tcBorders>
            <w:shd w:val="clear" w:color="auto" w:fill="auto"/>
            <w:vAlign w:val="center"/>
            <w:hideMark/>
          </w:tcPr>
          <w:p w14:paraId="4EDD4E48"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-0.0788*</w:t>
            </w:r>
          </w:p>
        </w:tc>
      </w:tr>
      <w:tr w:rsidR="000E3A94" w:rsidRPr="00F37A73" w14:paraId="7F408EFE" w14:textId="77777777" w:rsidTr="00AD715B">
        <w:trPr>
          <w:trHeight w:val="320"/>
        </w:trPr>
        <w:tc>
          <w:tcPr>
            <w:tcW w:w="2368" w:type="pct"/>
            <w:tcBorders>
              <w:top w:val="nil"/>
              <w:left w:val="nil"/>
              <w:bottom w:val="nil"/>
              <w:right w:val="nil"/>
            </w:tcBorders>
            <w:shd w:val="clear" w:color="auto" w:fill="auto"/>
            <w:vAlign w:val="center"/>
            <w:hideMark/>
          </w:tcPr>
          <w:p w14:paraId="73EF0D58" w14:textId="77777777" w:rsidR="000E3A94" w:rsidRPr="00F37A73" w:rsidRDefault="000E3A94" w:rsidP="00AD715B">
            <w:pPr>
              <w:suppressAutoHyphens w:val="0"/>
              <w:spacing w:line="240" w:lineRule="auto"/>
              <w:jc w:val="center"/>
              <w:rPr>
                <w:rFonts w:eastAsia="Times New Roman"/>
                <w:color w:val="000000"/>
                <w:lang w:val="en-KR" w:eastAsia="ko-KR"/>
              </w:rPr>
            </w:pPr>
          </w:p>
        </w:tc>
        <w:tc>
          <w:tcPr>
            <w:tcW w:w="1316" w:type="pct"/>
            <w:tcBorders>
              <w:top w:val="nil"/>
              <w:left w:val="nil"/>
              <w:bottom w:val="nil"/>
              <w:right w:val="nil"/>
            </w:tcBorders>
            <w:shd w:val="clear" w:color="auto" w:fill="auto"/>
            <w:vAlign w:val="center"/>
            <w:hideMark/>
          </w:tcPr>
          <w:p w14:paraId="34DFCEA6"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KR" w:eastAsia="ko-KR"/>
              </w:rPr>
              <w:t>(0.0060)</w:t>
            </w:r>
          </w:p>
        </w:tc>
        <w:tc>
          <w:tcPr>
            <w:tcW w:w="1316" w:type="pct"/>
            <w:tcBorders>
              <w:top w:val="nil"/>
              <w:left w:val="nil"/>
              <w:bottom w:val="nil"/>
              <w:right w:val="nil"/>
            </w:tcBorders>
            <w:shd w:val="clear" w:color="auto" w:fill="auto"/>
            <w:vAlign w:val="center"/>
            <w:hideMark/>
          </w:tcPr>
          <w:p w14:paraId="09077C84"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KR" w:eastAsia="ko-KR"/>
              </w:rPr>
              <w:t>(0.0470)</w:t>
            </w:r>
          </w:p>
        </w:tc>
      </w:tr>
      <w:tr w:rsidR="000E3A94" w:rsidRPr="00F37A73" w14:paraId="7AFB83A9" w14:textId="77777777" w:rsidTr="00AD715B">
        <w:trPr>
          <w:trHeight w:val="340"/>
        </w:trPr>
        <w:tc>
          <w:tcPr>
            <w:tcW w:w="2368" w:type="pct"/>
            <w:tcBorders>
              <w:top w:val="nil"/>
              <w:left w:val="nil"/>
              <w:bottom w:val="nil"/>
              <w:right w:val="nil"/>
            </w:tcBorders>
            <w:shd w:val="clear" w:color="auto" w:fill="auto"/>
            <w:vAlign w:val="center"/>
            <w:hideMark/>
          </w:tcPr>
          <w:p w14:paraId="6ABAAB92" w14:textId="77777777" w:rsidR="000E3A94" w:rsidRPr="00F37A73" w:rsidRDefault="000E3A94" w:rsidP="00AD715B">
            <w:pPr>
              <w:suppressAutoHyphens w:val="0"/>
              <w:spacing w:line="240" w:lineRule="auto"/>
              <w:rPr>
                <w:rFonts w:eastAsia="Times New Roman"/>
                <w:color w:val="000000"/>
                <w:lang w:val="en-KR" w:eastAsia="ko-KR"/>
              </w:rPr>
            </w:pPr>
            <w:r w:rsidRPr="00F37A73">
              <w:rPr>
                <w:rFonts w:eastAsia="Times New Roman"/>
                <w:color w:val="000000"/>
                <w:lang w:val="en-GB" w:eastAsia="ko-KR"/>
              </w:rPr>
              <w:t>Constant</w:t>
            </w:r>
          </w:p>
        </w:tc>
        <w:tc>
          <w:tcPr>
            <w:tcW w:w="1316" w:type="pct"/>
            <w:tcBorders>
              <w:top w:val="nil"/>
              <w:left w:val="nil"/>
              <w:bottom w:val="nil"/>
              <w:right w:val="nil"/>
            </w:tcBorders>
            <w:shd w:val="clear" w:color="auto" w:fill="auto"/>
            <w:vAlign w:val="center"/>
            <w:hideMark/>
          </w:tcPr>
          <w:p w14:paraId="1654DF47"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-0.0848***</w:t>
            </w:r>
          </w:p>
        </w:tc>
        <w:tc>
          <w:tcPr>
            <w:tcW w:w="1316" w:type="pct"/>
            <w:tcBorders>
              <w:top w:val="nil"/>
              <w:left w:val="nil"/>
              <w:bottom w:val="nil"/>
              <w:right w:val="nil"/>
            </w:tcBorders>
            <w:shd w:val="clear" w:color="auto" w:fill="auto"/>
            <w:vAlign w:val="center"/>
            <w:hideMark/>
          </w:tcPr>
          <w:p w14:paraId="51065519"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3.8714***</w:t>
            </w:r>
          </w:p>
        </w:tc>
      </w:tr>
      <w:tr w:rsidR="000E3A94" w:rsidRPr="00F37A73" w14:paraId="66DE2A56" w14:textId="77777777" w:rsidTr="00AD715B">
        <w:trPr>
          <w:trHeight w:val="320"/>
        </w:trPr>
        <w:tc>
          <w:tcPr>
            <w:tcW w:w="2368" w:type="pct"/>
            <w:tcBorders>
              <w:top w:val="nil"/>
              <w:left w:val="nil"/>
              <w:bottom w:val="nil"/>
              <w:right w:val="nil"/>
            </w:tcBorders>
            <w:shd w:val="clear" w:color="auto" w:fill="auto"/>
            <w:vAlign w:val="center"/>
            <w:hideMark/>
          </w:tcPr>
          <w:p w14:paraId="1DF6D399" w14:textId="77777777" w:rsidR="000E3A94" w:rsidRPr="00F37A73" w:rsidRDefault="000E3A94" w:rsidP="00AD715B">
            <w:pPr>
              <w:suppressAutoHyphens w:val="0"/>
              <w:spacing w:line="240" w:lineRule="auto"/>
              <w:jc w:val="center"/>
              <w:rPr>
                <w:rFonts w:eastAsia="Times New Roman"/>
                <w:color w:val="000000"/>
                <w:lang w:val="en-KR" w:eastAsia="ko-KR"/>
              </w:rPr>
            </w:pPr>
          </w:p>
        </w:tc>
        <w:tc>
          <w:tcPr>
            <w:tcW w:w="1316" w:type="pct"/>
            <w:tcBorders>
              <w:top w:val="nil"/>
              <w:left w:val="nil"/>
              <w:bottom w:val="nil"/>
              <w:right w:val="nil"/>
            </w:tcBorders>
            <w:shd w:val="clear" w:color="auto" w:fill="auto"/>
            <w:vAlign w:val="center"/>
            <w:hideMark/>
          </w:tcPr>
          <w:p w14:paraId="212048F6"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KR" w:eastAsia="ko-KR"/>
              </w:rPr>
              <w:t>(0.0300)</w:t>
            </w:r>
          </w:p>
        </w:tc>
        <w:tc>
          <w:tcPr>
            <w:tcW w:w="1316" w:type="pct"/>
            <w:tcBorders>
              <w:top w:val="nil"/>
              <w:left w:val="nil"/>
              <w:bottom w:val="nil"/>
              <w:right w:val="nil"/>
            </w:tcBorders>
            <w:shd w:val="clear" w:color="auto" w:fill="auto"/>
            <w:vAlign w:val="center"/>
            <w:hideMark/>
          </w:tcPr>
          <w:p w14:paraId="6E9BB791"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KR" w:eastAsia="ko-KR"/>
              </w:rPr>
              <w:t>(0.2372)</w:t>
            </w:r>
          </w:p>
        </w:tc>
      </w:tr>
      <w:tr w:rsidR="000E3A94" w:rsidRPr="00F37A73" w14:paraId="4E9693C4" w14:textId="77777777" w:rsidTr="00AD715B">
        <w:trPr>
          <w:trHeight w:val="320"/>
        </w:trPr>
        <w:tc>
          <w:tcPr>
            <w:tcW w:w="2368" w:type="pct"/>
            <w:tcBorders>
              <w:top w:val="nil"/>
              <w:left w:val="nil"/>
              <w:bottom w:val="nil"/>
              <w:right w:val="nil"/>
            </w:tcBorders>
            <w:shd w:val="clear" w:color="auto" w:fill="auto"/>
            <w:vAlign w:val="center"/>
            <w:hideMark/>
          </w:tcPr>
          <w:p w14:paraId="740B1E66" w14:textId="77777777" w:rsidR="000E3A94" w:rsidRPr="00F37A73" w:rsidRDefault="000E3A94" w:rsidP="00AD715B">
            <w:pPr>
              <w:suppressAutoHyphens w:val="0"/>
              <w:spacing w:line="240" w:lineRule="auto"/>
              <w:jc w:val="center"/>
              <w:rPr>
                <w:rFonts w:eastAsia="Times New Roman"/>
                <w:color w:val="000000"/>
                <w:lang w:val="en-KR" w:eastAsia="ko-KR"/>
              </w:rPr>
            </w:pPr>
          </w:p>
        </w:tc>
        <w:tc>
          <w:tcPr>
            <w:tcW w:w="1316" w:type="pct"/>
            <w:tcBorders>
              <w:top w:val="nil"/>
              <w:left w:val="nil"/>
              <w:bottom w:val="nil"/>
              <w:right w:val="nil"/>
            </w:tcBorders>
            <w:shd w:val="clear" w:color="auto" w:fill="auto"/>
            <w:vAlign w:val="center"/>
            <w:hideMark/>
          </w:tcPr>
          <w:p w14:paraId="699A243E" w14:textId="77777777" w:rsidR="000E3A94" w:rsidRPr="00F37A73" w:rsidRDefault="000E3A94" w:rsidP="00AD715B">
            <w:pPr>
              <w:suppressAutoHyphens w:val="0"/>
              <w:spacing w:line="240" w:lineRule="auto"/>
              <w:rPr>
                <w:rFonts w:eastAsia="Times New Roman"/>
                <w:sz w:val="20"/>
                <w:szCs w:val="20"/>
                <w:lang w:val="en-KR" w:eastAsia="ko-KR"/>
              </w:rPr>
            </w:pPr>
          </w:p>
        </w:tc>
        <w:tc>
          <w:tcPr>
            <w:tcW w:w="1316" w:type="pct"/>
            <w:tcBorders>
              <w:top w:val="nil"/>
              <w:left w:val="nil"/>
              <w:bottom w:val="nil"/>
              <w:right w:val="nil"/>
            </w:tcBorders>
            <w:shd w:val="clear" w:color="auto" w:fill="auto"/>
            <w:vAlign w:val="center"/>
            <w:hideMark/>
          </w:tcPr>
          <w:p w14:paraId="596D3BA8" w14:textId="77777777" w:rsidR="000E3A94" w:rsidRPr="00F37A73" w:rsidRDefault="000E3A94" w:rsidP="00AD715B">
            <w:pPr>
              <w:suppressAutoHyphens w:val="0"/>
              <w:spacing w:line="240" w:lineRule="auto"/>
              <w:jc w:val="center"/>
              <w:rPr>
                <w:rFonts w:eastAsia="Times New Roman"/>
                <w:sz w:val="20"/>
                <w:szCs w:val="20"/>
                <w:lang w:val="en-KR" w:eastAsia="ko-KR"/>
              </w:rPr>
            </w:pPr>
          </w:p>
        </w:tc>
      </w:tr>
      <w:tr w:rsidR="000E3A94" w:rsidRPr="00F37A73" w14:paraId="29F1C1DD" w14:textId="77777777" w:rsidTr="00AD715B">
        <w:trPr>
          <w:trHeight w:val="1360"/>
        </w:trPr>
        <w:tc>
          <w:tcPr>
            <w:tcW w:w="2368" w:type="pct"/>
            <w:tcBorders>
              <w:top w:val="nil"/>
              <w:left w:val="nil"/>
              <w:bottom w:val="nil"/>
              <w:right w:val="nil"/>
            </w:tcBorders>
            <w:shd w:val="clear" w:color="auto" w:fill="auto"/>
            <w:vAlign w:val="center"/>
            <w:hideMark/>
          </w:tcPr>
          <w:p w14:paraId="01AFAA16" w14:textId="77777777" w:rsidR="000E3A94" w:rsidRPr="00F37A73" w:rsidRDefault="000E3A94" w:rsidP="00AD715B">
            <w:pPr>
              <w:suppressAutoHyphens w:val="0"/>
              <w:spacing w:line="240" w:lineRule="auto"/>
              <w:rPr>
                <w:rFonts w:eastAsia="Times New Roman"/>
                <w:color w:val="000000"/>
                <w:lang w:val="en-KR" w:eastAsia="ko-KR"/>
              </w:rPr>
            </w:pPr>
            <w:r w:rsidRPr="00F37A73">
              <w:rPr>
                <w:rFonts w:eastAsia="Times New Roman"/>
                <w:color w:val="000000"/>
                <w:lang w:val="en-GB" w:eastAsia="ko-KR"/>
              </w:rPr>
              <w:t xml:space="preserve">Cragg-Donald Wald F statistic </w:t>
            </w:r>
          </w:p>
        </w:tc>
        <w:tc>
          <w:tcPr>
            <w:tcW w:w="2632" w:type="pct"/>
            <w:gridSpan w:val="2"/>
            <w:tcBorders>
              <w:top w:val="nil"/>
              <w:left w:val="nil"/>
              <w:bottom w:val="nil"/>
              <w:right w:val="nil"/>
            </w:tcBorders>
            <w:shd w:val="clear" w:color="auto" w:fill="auto"/>
            <w:vAlign w:val="center"/>
            <w:hideMark/>
          </w:tcPr>
          <w:p w14:paraId="4B1CC657"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11340.09</w:t>
            </w:r>
          </w:p>
        </w:tc>
      </w:tr>
      <w:tr w:rsidR="000E3A94" w:rsidRPr="00F37A73" w14:paraId="1CED3516" w14:textId="77777777" w:rsidTr="00AD715B">
        <w:trPr>
          <w:trHeight w:val="340"/>
        </w:trPr>
        <w:tc>
          <w:tcPr>
            <w:tcW w:w="2368" w:type="pct"/>
            <w:tcBorders>
              <w:top w:val="nil"/>
              <w:left w:val="nil"/>
              <w:bottom w:val="nil"/>
              <w:right w:val="nil"/>
            </w:tcBorders>
            <w:shd w:val="clear" w:color="auto" w:fill="auto"/>
            <w:vAlign w:val="center"/>
            <w:hideMark/>
          </w:tcPr>
          <w:p w14:paraId="3AA705FD" w14:textId="77777777" w:rsidR="000E3A94" w:rsidRPr="00F37A73" w:rsidRDefault="000E3A94" w:rsidP="00AD715B">
            <w:pPr>
              <w:suppressAutoHyphens w:val="0"/>
              <w:spacing w:line="240" w:lineRule="auto"/>
              <w:rPr>
                <w:rFonts w:eastAsia="Times New Roman"/>
                <w:color w:val="000000"/>
                <w:lang w:val="en-KR" w:eastAsia="ko-KR"/>
              </w:rPr>
            </w:pPr>
            <w:r w:rsidRPr="00F37A73">
              <w:rPr>
                <w:rFonts w:eastAsia="Times New Roman"/>
                <w:color w:val="000000"/>
                <w:lang w:val="en-GB" w:eastAsia="ko-KR"/>
              </w:rPr>
              <w:t>Anderson-Rubin Wald Test (</w:t>
            </w:r>
            <w:r w:rsidRPr="00F37A73">
              <w:rPr>
                <w:rFonts w:eastAsia="Times New Roman"/>
                <w:i/>
                <w:iCs/>
                <w:color w:val="000000"/>
                <w:lang w:val="en-GB" w:eastAsia="ko-KR"/>
              </w:rPr>
              <w:t>F, Chi</w:t>
            </w:r>
            <w:r w:rsidRPr="00F37A73">
              <w:rPr>
                <w:rFonts w:eastAsia="Times New Roman"/>
                <w:color w:val="000000"/>
                <w:lang w:val="en-GB" w:eastAsia="ko-KR"/>
              </w:rPr>
              <w:t>)</w:t>
            </w:r>
          </w:p>
        </w:tc>
        <w:tc>
          <w:tcPr>
            <w:tcW w:w="2632" w:type="pct"/>
            <w:gridSpan w:val="2"/>
            <w:tcBorders>
              <w:top w:val="nil"/>
              <w:left w:val="nil"/>
              <w:bottom w:val="nil"/>
              <w:right w:val="nil"/>
            </w:tcBorders>
            <w:shd w:val="clear" w:color="auto" w:fill="auto"/>
            <w:vAlign w:val="center"/>
            <w:hideMark/>
          </w:tcPr>
          <w:p w14:paraId="349D986C"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 xml:space="preserve">(818.44, </w:t>
            </w:r>
            <w:proofErr w:type="gramStart"/>
            <w:r w:rsidRPr="00F37A73">
              <w:rPr>
                <w:rFonts w:eastAsia="Times New Roman"/>
                <w:color w:val="000000"/>
                <w:lang w:val="en-GB" w:eastAsia="ko-KR"/>
              </w:rPr>
              <w:t>819.00)*</w:t>
            </w:r>
            <w:proofErr w:type="gramEnd"/>
            <w:r w:rsidRPr="00F37A73">
              <w:rPr>
                <w:rFonts w:eastAsia="Times New Roman"/>
                <w:color w:val="000000"/>
                <w:lang w:val="en-GB" w:eastAsia="ko-KR"/>
              </w:rPr>
              <w:t>**</w:t>
            </w:r>
          </w:p>
        </w:tc>
      </w:tr>
      <w:tr w:rsidR="000E3A94" w:rsidRPr="00F37A73" w14:paraId="028E792D" w14:textId="77777777" w:rsidTr="00AD715B">
        <w:trPr>
          <w:trHeight w:val="680"/>
        </w:trPr>
        <w:tc>
          <w:tcPr>
            <w:tcW w:w="2368" w:type="pct"/>
            <w:tcBorders>
              <w:top w:val="nil"/>
              <w:left w:val="nil"/>
              <w:bottom w:val="nil"/>
              <w:right w:val="nil"/>
            </w:tcBorders>
            <w:shd w:val="clear" w:color="auto" w:fill="auto"/>
            <w:vAlign w:val="center"/>
            <w:hideMark/>
          </w:tcPr>
          <w:p w14:paraId="531A5C44" w14:textId="77777777" w:rsidR="000E3A94" w:rsidRPr="00F37A73" w:rsidRDefault="000E3A94" w:rsidP="00AD715B">
            <w:pPr>
              <w:suppressAutoHyphens w:val="0"/>
              <w:spacing w:line="240" w:lineRule="auto"/>
              <w:rPr>
                <w:rFonts w:eastAsia="Times New Roman"/>
                <w:color w:val="000000"/>
                <w:lang w:val="en-KR" w:eastAsia="ko-KR"/>
              </w:rPr>
            </w:pPr>
            <w:r w:rsidRPr="00F37A73">
              <w:rPr>
                <w:rFonts w:eastAsia="Times New Roman"/>
                <w:color w:val="000000"/>
                <w:lang w:val="en-GB" w:eastAsia="ko-KR"/>
              </w:rPr>
              <w:t>Observations</w:t>
            </w:r>
          </w:p>
        </w:tc>
        <w:tc>
          <w:tcPr>
            <w:tcW w:w="1316" w:type="pct"/>
            <w:tcBorders>
              <w:top w:val="nil"/>
              <w:left w:val="nil"/>
              <w:bottom w:val="nil"/>
              <w:right w:val="nil"/>
            </w:tcBorders>
            <w:shd w:val="clear" w:color="auto" w:fill="auto"/>
            <w:vAlign w:val="center"/>
            <w:hideMark/>
          </w:tcPr>
          <w:p w14:paraId="35527D49"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24942</w:t>
            </w:r>
          </w:p>
        </w:tc>
        <w:tc>
          <w:tcPr>
            <w:tcW w:w="1316" w:type="pct"/>
            <w:tcBorders>
              <w:top w:val="nil"/>
              <w:left w:val="nil"/>
              <w:bottom w:val="nil"/>
              <w:right w:val="nil"/>
            </w:tcBorders>
            <w:shd w:val="clear" w:color="auto" w:fill="auto"/>
            <w:vAlign w:val="center"/>
            <w:hideMark/>
          </w:tcPr>
          <w:p w14:paraId="389D3888"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24942</w:t>
            </w:r>
          </w:p>
        </w:tc>
      </w:tr>
      <w:tr w:rsidR="000E3A94" w:rsidRPr="00F37A73" w14:paraId="04269206" w14:textId="77777777" w:rsidTr="00AD715B">
        <w:trPr>
          <w:trHeight w:val="340"/>
        </w:trPr>
        <w:tc>
          <w:tcPr>
            <w:tcW w:w="2368" w:type="pct"/>
            <w:tcBorders>
              <w:top w:val="nil"/>
              <w:left w:val="nil"/>
              <w:bottom w:val="nil"/>
              <w:right w:val="nil"/>
            </w:tcBorders>
            <w:shd w:val="clear" w:color="auto" w:fill="auto"/>
            <w:vAlign w:val="center"/>
            <w:hideMark/>
          </w:tcPr>
          <w:p w14:paraId="2ECB5691" w14:textId="77777777" w:rsidR="000E3A94" w:rsidRPr="00F37A73" w:rsidRDefault="000E3A94" w:rsidP="00AD715B">
            <w:pPr>
              <w:suppressAutoHyphens w:val="0"/>
              <w:spacing w:line="240" w:lineRule="auto"/>
              <w:rPr>
                <w:rFonts w:eastAsia="Times New Roman"/>
                <w:color w:val="000000"/>
                <w:lang w:val="en-KR" w:eastAsia="ko-KR"/>
              </w:rPr>
            </w:pPr>
            <w:r w:rsidRPr="00F37A73">
              <w:rPr>
                <w:rFonts w:eastAsia="Times New Roman"/>
                <w:color w:val="000000"/>
                <w:lang w:val="en-GB" w:eastAsia="ko-KR"/>
              </w:rPr>
              <w:t>R-squared</w:t>
            </w:r>
          </w:p>
        </w:tc>
        <w:tc>
          <w:tcPr>
            <w:tcW w:w="1316" w:type="pct"/>
            <w:tcBorders>
              <w:top w:val="nil"/>
              <w:left w:val="nil"/>
              <w:bottom w:val="nil"/>
              <w:right w:val="nil"/>
            </w:tcBorders>
            <w:shd w:val="clear" w:color="auto" w:fill="auto"/>
            <w:vAlign w:val="center"/>
            <w:hideMark/>
          </w:tcPr>
          <w:p w14:paraId="49C4BA64"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0.377</w:t>
            </w:r>
          </w:p>
        </w:tc>
        <w:tc>
          <w:tcPr>
            <w:tcW w:w="1316" w:type="pct"/>
            <w:tcBorders>
              <w:top w:val="nil"/>
              <w:left w:val="nil"/>
              <w:bottom w:val="nil"/>
              <w:right w:val="nil"/>
            </w:tcBorders>
            <w:shd w:val="clear" w:color="auto" w:fill="auto"/>
            <w:vAlign w:val="center"/>
            <w:hideMark/>
          </w:tcPr>
          <w:p w14:paraId="1B2F6446"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0.046</w:t>
            </w:r>
          </w:p>
        </w:tc>
      </w:tr>
      <w:tr w:rsidR="000E3A94" w:rsidRPr="00F37A73" w14:paraId="5C3361AD" w14:textId="77777777" w:rsidTr="00AD715B">
        <w:trPr>
          <w:trHeight w:val="340"/>
        </w:trPr>
        <w:tc>
          <w:tcPr>
            <w:tcW w:w="2368" w:type="pct"/>
            <w:tcBorders>
              <w:top w:val="nil"/>
              <w:left w:val="nil"/>
              <w:bottom w:val="single" w:sz="4" w:space="0" w:color="auto"/>
              <w:right w:val="nil"/>
            </w:tcBorders>
            <w:shd w:val="clear" w:color="auto" w:fill="auto"/>
            <w:vAlign w:val="center"/>
            <w:hideMark/>
          </w:tcPr>
          <w:p w14:paraId="56BC9352" w14:textId="77777777" w:rsidR="000E3A94" w:rsidRPr="00F37A73" w:rsidRDefault="000E3A94" w:rsidP="00AD715B">
            <w:pPr>
              <w:suppressAutoHyphens w:val="0"/>
              <w:spacing w:line="240" w:lineRule="auto"/>
              <w:rPr>
                <w:rFonts w:eastAsia="Times New Roman"/>
                <w:color w:val="000000"/>
                <w:lang w:val="en-KR" w:eastAsia="ko-KR"/>
              </w:rPr>
            </w:pPr>
            <w:r w:rsidRPr="00F37A73">
              <w:rPr>
                <w:rFonts w:eastAsia="Times New Roman"/>
                <w:color w:val="000000"/>
                <w:lang w:val="en-GB" w:eastAsia="ko-KR"/>
              </w:rPr>
              <w:t>Adjusted R-squared</w:t>
            </w:r>
          </w:p>
        </w:tc>
        <w:tc>
          <w:tcPr>
            <w:tcW w:w="1316" w:type="pct"/>
            <w:tcBorders>
              <w:top w:val="nil"/>
              <w:left w:val="nil"/>
              <w:bottom w:val="single" w:sz="4" w:space="0" w:color="auto"/>
              <w:right w:val="nil"/>
            </w:tcBorders>
            <w:shd w:val="clear" w:color="auto" w:fill="auto"/>
            <w:vAlign w:val="center"/>
            <w:hideMark/>
          </w:tcPr>
          <w:p w14:paraId="1B6C91E6"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0.376</w:t>
            </w:r>
          </w:p>
        </w:tc>
        <w:tc>
          <w:tcPr>
            <w:tcW w:w="1316" w:type="pct"/>
            <w:tcBorders>
              <w:top w:val="nil"/>
              <w:left w:val="nil"/>
              <w:bottom w:val="single" w:sz="4" w:space="0" w:color="auto"/>
              <w:right w:val="nil"/>
            </w:tcBorders>
            <w:shd w:val="clear" w:color="auto" w:fill="auto"/>
            <w:vAlign w:val="center"/>
            <w:hideMark/>
          </w:tcPr>
          <w:p w14:paraId="2F25E79E" w14:textId="77777777" w:rsidR="000E3A94" w:rsidRPr="00F37A73" w:rsidRDefault="000E3A94" w:rsidP="00AD715B">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0.045</w:t>
            </w:r>
          </w:p>
        </w:tc>
      </w:tr>
    </w:tbl>
    <w:p w14:paraId="3A371C6A" w14:textId="77777777" w:rsidR="000E3A94" w:rsidRDefault="000E3A94" w:rsidP="000E3A94">
      <w:pPr>
        <w:rPr>
          <w:color w:val="000000" w:themeColor="text1"/>
        </w:rPr>
      </w:pPr>
      <w:r w:rsidRPr="00172AD7">
        <w:rPr>
          <w:i/>
          <w:iCs/>
          <w:color w:val="000000" w:themeColor="text1"/>
        </w:rPr>
        <w:t xml:space="preserve">Note. </w:t>
      </w:r>
      <w:r w:rsidRPr="00172AD7">
        <w:rPr>
          <w:color w:val="000000" w:themeColor="text1"/>
        </w:rPr>
        <w:t>Standard errors in parentheses</w:t>
      </w:r>
      <w:r>
        <w:rPr>
          <w:color w:val="000000" w:themeColor="text1"/>
        </w:rPr>
        <w:t xml:space="preserve">. </w:t>
      </w:r>
      <w:r>
        <w:rPr>
          <w:color w:val="000000" w:themeColor="text1"/>
        </w:rPr>
        <w:br/>
      </w:r>
      <w:r w:rsidRPr="00172AD7">
        <w:rPr>
          <w:color w:val="000000" w:themeColor="text1"/>
        </w:rPr>
        <w:t>*** p&lt;0.01, ** p&lt;0.05, * p&lt;0.1</w:t>
      </w:r>
    </w:p>
    <w:p w14:paraId="6F49DDEE" w14:textId="77777777" w:rsidR="000E3A94" w:rsidRPr="00172AD7" w:rsidRDefault="000E3A94" w:rsidP="000E3A94">
      <w:pPr>
        <w:rPr>
          <w:i/>
          <w:iCs/>
          <w:color w:val="000000" w:themeColor="text1"/>
        </w:rPr>
      </w:pPr>
    </w:p>
    <w:p w14:paraId="7FD3E1FA" w14:textId="77777777" w:rsidR="000E3A94" w:rsidRDefault="000E3A94" w:rsidP="000E3A94">
      <w:pPr>
        <w:rPr>
          <w:b/>
          <w:bCs/>
          <w:color w:val="000000" w:themeColor="text1"/>
        </w:rPr>
        <w:sectPr w:rsidR="000E3A94" w:rsidSect="000E3A94">
          <w:pgSz w:w="12240" w:h="15840" w:code="1"/>
          <w:pgMar w:top="1440" w:right="1440" w:bottom="1440" w:left="1440" w:header="720" w:footer="720" w:gutter="0"/>
          <w:pgNumType w:start="1"/>
          <w:cols w:space="720"/>
          <w:docGrid w:linePitch="360"/>
        </w:sectPr>
      </w:pPr>
    </w:p>
    <w:p w14:paraId="7E913106" w14:textId="77777777" w:rsidR="000E3A94" w:rsidRPr="00172AD7" w:rsidRDefault="000E3A94" w:rsidP="000E3A94">
      <w:pPr>
        <w:rPr>
          <w:b/>
          <w:bCs/>
          <w:color w:val="000000" w:themeColor="text1"/>
        </w:rPr>
      </w:pPr>
      <w:r w:rsidRPr="00172AD7">
        <w:rPr>
          <w:b/>
          <w:bCs/>
          <w:color w:val="000000" w:themeColor="text1"/>
        </w:rPr>
        <w:lastRenderedPageBreak/>
        <w:t xml:space="preserve">Table </w:t>
      </w:r>
      <w:r>
        <w:rPr>
          <w:b/>
          <w:bCs/>
          <w:color w:val="000000" w:themeColor="text1"/>
        </w:rPr>
        <w:t>8</w:t>
      </w:r>
    </w:p>
    <w:p w14:paraId="2312A11A" w14:textId="77777777" w:rsidR="000E3A94" w:rsidRPr="00172AD7" w:rsidRDefault="000E3A94" w:rsidP="000E3A94">
      <w:pPr>
        <w:rPr>
          <w:i/>
          <w:iCs/>
          <w:color w:val="000000" w:themeColor="text1"/>
        </w:rPr>
      </w:pPr>
      <w:r w:rsidRPr="00164B0C">
        <w:rPr>
          <w:i/>
          <w:iCs/>
          <w:color w:val="000000" w:themeColor="text1"/>
        </w:rPr>
        <w:t>Additional Results from Firms’ Structure</w:t>
      </w:r>
    </w:p>
    <w:tbl>
      <w:tblPr>
        <w:tblW w:w="5000" w:type="pct"/>
        <w:tblLook w:val="04A0" w:firstRow="1" w:lastRow="0" w:firstColumn="1" w:lastColumn="0" w:noHBand="0" w:noVBand="1"/>
      </w:tblPr>
      <w:tblGrid>
        <w:gridCol w:w="2349"/>
        <w:gridCol w:w="1807"/>
        <w:gridCol w:w="1807"/>
        <w:gridCol w:w="1807"/>
        <w:gridCol w:w="1806"/>
      </w:tblGrid>
      <w:tr w:rsidR="000E3A94" w:rsidRPr="00E07F4D" w14:paraId="0CEF4A0A" w14:textId="77777777" w:rsidTr="00AD715B">
        <w:trPr>
          <w:trHeight w:val="340"/>
        </w:trPr>
        <w:tc>
          <w:tcPr>
            <w:tcW w:w="1226" w:type="pct"/>
            <w:tcBorders>
              <w:top w:val="single" w:sz="4" w:space="0" w:color="auto"/>
              <w:left w:val="nil"/>
              <w:bottom w:val="nil"/>
              <w:right w:val="nil"/>
            </w:tcBorders>
            <w:shd w:val="clear" w:color="auto" w:fill="auto"/>
            <w:vAlign w:val="center"/>
            <w:hideMark/>
          </w:tcPr>
          <w:p w14:paraId="1CBB27E8" w14:textId="77777777" w:rsidR="000E3A94" w:rsidRPr="00E07F4D" w:rsidRDefault="000E3A94" w:rsidP="00AD715B">
            <w:pPr>
              <w:suppressAutoHyphens w:val="0"/>
              <w:spacing w:line="240" w:lineRule="auto"/>
              <w:rPr>
                <w:rFonts w:eastAsia="Times New Roman"/>
                <w:color w:val="000000"/>
                <w:lang w:val="en-KR" w:eastAsia="ko-KR"/>
              </w:rPr>
            </w:pPr>
            <w:r w:rsidRPr="00E07F4D">
              <w:rPr>
                <w:rFonts w:eastAsia="Times New Roman"/>
                <w:color w:val="000000"/>
                <w:lang w:val="en-GB" w:eastAsia="ko-KR"/>
              </w:rPr>
              <w:t> </w:t>
            </w:r>
          </w:p>
        </w:tc>
        <w:tc>
          <w:tcPr>
            <w:tcW w:w="943" w:type="pct"/>
            <w:tcBorders>
              <w:top w:val="single" w:sz="4" w:space="0" w:color="auto"/>
              <w:left w:val="nil"/>
              <w:bottom w:val="nil"/>
              <w:right w:val="nil"/>
            </w:tcBorders>
            <w:shd w:val="clear" w:color="auto" w:fill="auto"/>
            <w:vAlign w:val="center"/>
            <w:hideMark/>
          </w:tcPr>
          <w:p w14:paraId="52F6B15E"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(1)</w:t>
            </w:r>
          </w:p>
        </w:tc>
        <w:tc>
          <w:tcPr>
            <w:tcW w:w="943" w:type="pct"/>
            <w:tcBorders>
              <w:top w:val="single" w:sz="4" w:space="0" w:color="auto"/>
              <w:left w:val="nil"/>
              <w:bottom w:val="nil"/>
              <w:right w:val="nil"/>
            </w:tcBorders>
            <w:shd w:val="clear" w:color="auto" w:fill="auto"/>
            <w:vAlign w:val="center"/>
            <w:hideMark/>
          </w:tcPr>
          <w:p w14:paraId="5CFF44EE"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eastAsia="ko-KR"/>
              </w:rPr>
              <w:t>(2)</w:t>
            </w:r>
          </w:p>
        </w:tc>
        <w:tc>
          <w:tcPr>
            <w:tcW w:w="943" w:type="pct"/>
            <w:tcBorders>
              <w:top w:val="single" w:sz="4" w:space="0" w:color="auto"/>
              <w:left w:val="nil"/>
              <w:bottom w:val="nil"/>
              <w:right w:val="nil"/>
            </w:tcBorders>
            <w:shd w:val="clear" w:color="auto" w:fill="auto"/>
            <w:vAlign w:val="center"/>
            <w:hideMark/>
          </w:tcPr>
          <w:p w14:paraId="480439E0"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eastAsia="ko-KR"/>
              </w:rPr>
              <w:t>(3)</w:t>
            </w:r>
          </w:p>
        </w:tc>
        <w:tc>
          <w:tcPr>
            <w:tcW w:w="943" w:type="pct"/>
            <w:tcBorders>
              <w:top w:val="single" w:sz="4" w:space="0" w:color="auto"/>
              <w:left w:val="nil"/>
              <w:bottom w:val="nil"/>
              <w:right w:val="nil"/>
            </w:tcBorders>
            <w:shd w:val="clear" w:color="auto" w:fill="auto"/>
            <w:vAlign w:val="center"/>
            <w:hideMark/>
          </w:tcPr>
          <w:p w14:paraId="652D10ED"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eastAsia="ko-KR"/>
              </w:rPr>
              <w:t>(4)</w:t>
            </w:r>
          </w:p>
        </w:tc>
      </w:tr>
      <w:tr w:rsidR="000E3A94" w:rsidRPr="00E07F4D" w14:paraId="2D96FE9B" w14:textId="77777777" w:rsidTr="00AD715B">
        <w:trPr>
          <w:trHeight w:val="340"/>
        </w:trPr>
        <w:tc>
          <w:tcPr>
            <w:tcW w:w="1226" w:type="pct"/>
            <w:tcBorders>
              <w:top w:val="nil"/>
              <w:left w:val="nil"/>
              <w:bottom w:val="nil"/>
              <w:right w:val="nil"/>
            </w:tcBorders>
            <w:shd w:val="clear" w:color="auto" w:fill="auto"/>
            <w:vAlign w:val="center"/>
            <w:hideMark/>
          </w:tcPr>
          <w:p w14:paraId="52F8115C" w14:textId="77777777" w:rsidR="000E3A94" w:rsidRPr="00E07F4D" w:rsidRDefault="000E3A94" w:rsidP="00AD715B">
            <w:pPr>
              <w:suppressAutoHyphens w:val="0"/>
              <w:spacing w:line="240" w:lineRule="auto"/>
              <w:rPr>
                <w:rFonts w:eastAsia="Times New Roman"/>
                <w:i/>
                <w:iCs/>
                <w:color w:val="000000"/>
                <w:lang w:val="en-KR" w:eastAsia="ko-KR"/>
              </w:rPr>
            </w:pPr>
            <w:r w:rsidRPr="00E07F4D">
              <w:rPr>
                <w:rFonts w:eastAsia="Times New Roman"/>
                <w:i/>
                <w:iCs/>
                <w:color w:val="000000"/>
                <w:lang w:val="en-GB" w:eastAsia="ko-KR"/>
              </w:rPr>
              <w:t>Type</w:t>
            </w:r>
          </w:p>
        </w:tc>
        <w:tc>
          <w:tcPr>
            <w:tcW w:w="943" w:type="pct"/>
            <w:tcBorders>
              <w:top w:val="nil"/>
              <w:left w:val="nil"/>
              <w:bottom w:val="nil"/>
              <w:right w:val="nil"/>
            </w:tcBorders>
            <w:shd w:val="clear" w:color="auto" w:fill="auto"/>
            <w:vAlign w:val="center"/>
            <w:hideMark/>
          </w:tcPr>
          <w:p w14:paraId="11BEEB50" w14:textId="77777777" w:rsidR="000E3A94" w:rsidRPr="00E07F4D" w:rsidRDefault="000E3A94" w:rsidP="00AD715B">
            <w:pPr>
              <w:suppressAutoHyphens w:val="0"/>
              <w:spacing w:line="240" w:lineRule="auto"/>
              <w:jc w:val="center"/>
              <w:rPr>
                <w:rFonts w:eastAsia="Times New Roman"/>
                <w:i/>
                <w:iCs/>
                <w:color w:val="000000"/>
                <w:lang w:val="en-KR" w:eastAsia="ko-KR"/>
              </w:rPr>
            </w:pPr>
            <w:r w:rsidRPr="00E07F4D">
              <w:rPr>
                <w:rFonts w:eastAsia="Times New Roman"/>
                <w:i/>
                <w:iCs/>
                <w:color w:val="000000"/>
                <w:lang w:val="en-GB" w:eastAsia="ko-KR"/>
              </w:rPr>
              <w:t>Whole</w:t>
            </w:r>
          </w:p>
        </w:tc>
        <w:tc>
          <w:tcPr>
            <w:tcW w:w="943" w:type="pct"/>
            <w:tcBorders>
              <w:top w:val="nil"/>
              <w:left w:val="nil"/>
              <w:bottom w:val="nil"/>
              <w:right w:val="nil"/>
            </w:tcBorders>
            <w:shd w:val="clear" w:color="auto" w:fill="auto"/>
            <w:vAlign w:val="center"/>
            <w:hideMark/>
          </w:tcPr>
          <w:p w14:paraId="64561D53" w14:textId="77777777" w:rsidR="000E3A94" w:rsidRPr="00E07F4D" w:rsidRDefault="000E3A94" w:rsidP="00AD715B">
            <w:pPr>
              <w:suppressAutoHyphens w:val="0"/>
              <w:spacing w:line="240" w:lineRule="auto"/>
              <w:jc w:val="center"/>
              <w:rPr>
                <w:rFonts w:eastAsia="Times New Roman"/>
                <w:i/>
                <w:iCs/>
                <w:color w:val="000000"/>
                <w:lang w:val="en-KR" w:eastAsia="ko-KR"/>
              </w:rPr>
            </w:pPr>
            <w:r w:rsidRPr="00E07F4D">
              <w:rPr>
                <w:rFonts w:eastAsia="Times New Roman"/>
                <w:i/>
                <w:iCs/>
                <w:color w:val="000000"/>
                <w:lang w:val="en-GB" w:eastAsia="ko-KR"/>
              </w:rPr>
              <w:t>I</w:t>
            </w:r>
          </w:p>
        </w:tc>
        <w:tc>
          <w:tcPr>
            <w:tcW w:w="943" w:type="pct"/>
            <w:tcBorders>
              <w:top w:val="nil"/>
              <w:left w:val="nil"/>
              <w:bottom w:val="nil"/>
              <w:right w:val="nil"/>
            </w:tcBorders>
            <w:shd w:val="clear" w:color="auto" w:fill="auto"/>
            <w:vAlign w:val="center"/>
            <w:hideMark/>
          </w:tcPr>
          <w:p w14:paraId="56AFDB02" w14:textId="77777777" w:rsidR="000E3A94" w:rsidRPr="00E07F4D" w:rsidRDefault="000E3A94" w:rsidP="00AD715B">
            <w:pPr>
              <w:suppressAutoHyphens w:val="0"/>
              <w:spacing w:line="240" w:lineRule="auto"/>
              <w:jc w:val="center"/>
              <w:rPr>
                <w:rFonts w:eastAsia="Times New Roman"/>
                <w:i/>
                <w:iCs/>
                <w:color w:val="000000"/>
                <w:lang w:val="en-KR" w:eastAsia="ko-KR"/>
              </w:rPr>
            </w:pPr>
            <w:r w:rsidRPr="00E07F4D">
              <w:rPr>
                <w:rFonts w:eastAsia="Times New Roman"/>
                <w:i/>
                <w:iCs/>
                <w:color w:val="000000"/>
                <w:lang w:val="en-GB" w:eastAsia="ko-KR"/>
              </w:rPr>
              <w:t>II</w:t>
            </w:r>
          </w:p>
        </w:tc>
        <w:tc>
          <w:tcPr>
            <w:tcW w:w="943" w:type="pct"/>
            <w:tcBorders>
              <w:top w:val="nil"/>
              <w:left w:val="nil"/>
              <w:bottom w:val="nil"/>
              <w:right w:val="nil"/>
            </w:tcBorders>
            <w:shd w:val="clear" w:color="auto" w:fill="auto"/>
            <w:vAlign w:val="center"/>
            <w:hideMark/>
          </w:tcPr>
          <w:p w14:paraId="3371BE1C" w14:textId="77777777" w:rsidR="000E3A94" w:rsidRPr="00E07F4D" w:rsidRDefault="000E3A94" w:rsidP="00AD715B">
            <w:pPr>
              <w:suppressAutoHyphens w:val="0"/>
              <w:spacing w:line="240" w:lineRule="auto"/>
              <w:jc w:val="center"/>
              <w:rPr>
                <w:rFonts w:eastAsia="Times New Roman"/>
                <w:i/>
                <w:iCs/>
                <w:color w:val="000000"/>
                <w:lang w:val="en-KR" w:eastAsia="ko-KR"/>
              </w:rPr>
            </w:pPr>
            <w:r w:rsidRPr="00E07F4D">
              <w:rPr>
                <w:rFonts w:eastAsia="Times New Roman"/>
                <w:i/>
                <w:iCs/>
                <w:color w:val="000000"/>
                <w:lang w:val="en-GB" w:eastAsia="ko-KR"/>
              </w:rPr>
              <w:t>III</w:t>
            </w:r>
          </w:p>
        </w:tc>
      </w:tr>
      <w:tr w:rsidR="000E3A94" w:rsidRPr="00E07F4D" w14:paraId="17C6D29D" w14:textId="77777777" w:rsidTr="00AD715B">
        <w:trPr>
          <w:trHeight w:val="340"/>
        </w:trPr>
        <w:tc>
          <w:tcPr>
            <w:tcW w:w="1226" w:type="pct"/>
            <w:tcBorders>
              <w:top w:val="nil"/>
              <w:left w:val="nil"/>
              <w:bottom w:val="single" w:sz="4" w:space="0" w:color="auto"/>
              <w:right w:val="nil"/>
            </w:tcBorders>
            <w:shd w:val="clear" w:color="auto" w:fill="auto"/>
            <w:vAlign w:val="center"/>
            <w:hideMark/>
          </w:tcPr>
          <w:p w14:paraId="14B25043" w14:textId="77777777" w:rsidR="000E3A94" w:rsidRPr="00E07F4D" w:rsidRDefault="000E3A94" w:rsidP="00AD715B">
            <w:pPr>
              <w:suppressAutoHyphens w:val="0"/>
              <w:spacing w:line="240" w:lineRule="auto"/>
              <w:rPr>
                <w:rFonts w:eastAsia="Times New Roman"/>
                <w:color w:val="000000"/>
                <w:lang w:val="en-KR" w:eastAsia="ko-KR"/>
              </w:rPr>
            </w:pPr>
            <w:r w:rsidRPr="00E07F4D">
              <w:rPr>
                <w:rFonts w:eastAsia="Times New Roman"/>
                <w:color w:val="000000"/>
                <w:lang w:val="en-GB" w:eastAsia="ko-KR"/>
              </w:rPr>
              <w:t>VARIABLES</w:t>
            </w:r>
          </w:p>
        </w:tc>
        <w:tc>
          <w:tcPr>
            <w:tcW w:w="943" w:type="pct"/>
            <w:tcBorders>
              <w:top w:val="nil"/>
              <w:left w:val="nil"/>
              <w:bottom w:val="single" w:sz="4" w:space="0" w:color="auto"/>
              <w:right w:val="nil"/>
            </w:tcBorders>
            <w:shd w:val="clear" w:color="auto" w:fill="auto"/>
            <w:vAlign w:val="center"/>
            <w:hideMark/>
          </w:tcPr>
          <w:p w14:paraId="17BDC68D" w14:textId="77777777" w:rsidR="000E3A94" w:rsidRPr="00E07F4D" w:rsidRDefault="000E3A94" w:rsidP="00AD715B">
            <w:pPr>
              <w:suppressAutoHyphens w:val="0"/>
              <w:spacing w:line="240" w:lineRule="auto"/>
              <w:jc w:val="center"/>
              <w:rPr>
                <w:rFonts w:eastAsia="Times New Roman"/>
                <w:i/>
                <w:iCs/>
                <w:color w:val="000000"/>
                <w:lang w:val="en-KR" w:eastAsia="ko-KR"/>
              </w:rPr>
            </w:pPr>
            <w:proofErr w:type="spellStart"/>
            <w:r w:rsidRPr="00E07F4D">
              <w:rPr>
                <w:rFonts w:eastAsia="Times New Roman"/>
                <w:i/>
                <w:iCs/>
                <w:color w:val="000000"/>
                <w:lang w:val="en-GB" w:eastAsia="ko-KR"/>
              </w:rPr>
              <w:t>Degreep</w:t>
            </w:r>
            <w:proofErr w:type="spellEnd"/>
          </w:p>
        </w:tc>
        <w:tc>
          <w:tcPr>
            <w:tcW w:w="943" w:type="pct"/>
            <w:tcBorders>
              <w:top w:val="nil"/>
              <w:left w:val="nil"/>
              <w:bottom w:val="single" w:sz="4" w:space="0" w:color="auto"/>
              <w:right w:val="nil"/>
            </w:tcBorders>
            <w:shd w:val="clear" w:color="auto" w:fill="auto"/>
            <w:vAlign w:val="center"/>
            <w:hideMark/>
          </w:tcPr>
          <w:p w14:paraId="6676C924" w14:textId="77777777" w:rsidR="000E3A94" w:rsidRPr="00E07F4D" w:rsidRDefault="000E3A94" w:rsidP="00AD715B">
            <w:pPr>
              <w:suppressAutoHyphens w:val="0"/>
              <w:spacing w:line="240" w:lineRule="auto"/>
              <w:jc w:val="center"/>
              <w:rPr>
                <w:rFonts w:eastAsia="Times New Roman"/>
                <w:i/>
                <w:iCs/>
                <w:color w:val="000000"/>
                <w:lang w:val="en-KR" w:eastAsia="ko-KR"/>
              </w:rPr>
            </w:pPr>
            <w:proofErr w:type="spellStart"/>
            <w:r w:rsidRPr="00E07F4D">
              <w:rPr>
                <w:rFonts w:eastAsia="Times New Roman"/>
                <w:i/>
                <w:iCs/>
                <w:color w:val="000000"/>
                <w:lang w:val="en-GB" w:eastAsia="ko-KR"/>
              </w:rPr>
              <w:t>Degreep</w:t>
            </w:r>
            <w:proofErr w:type="spellEnd"/>
          </w:p>
        </w:tc>
        <w:tc>
          <w:tcPr>
            <w:tcW w:w="943" w:type="pct"/>
            <w:tcBorders>
              <w:top w:val="nil"/>
              <w:left w:val="nil"/>
              <w:bottom w:val="single" w:sz="4" w:space="0" w:color="auto"/>
              <w:right w:val="nil"/>
            </w:tcBorders>
            <w:shd w:val="clear" w:color="auto" w:fill="auto"/>
            <w:vAlign w:val="center"/>
            <w:hideMark/>
          </w:tcPr>
          <w:p w14:paraId="760F5393" w14:textId="77777777" w:rsidR="000E3A94" w:rsidRPr="00E07F4D" w:rsidRDefault="000E3A94" w:rsidP="00AD715B">
            <w:pPr>
              <w:suppressAutoHyphens w:val="0"/>
              <w:spacing w:line="240" w:lineRule="auto"/>
              <w:jc w:val="center"/>
              <w:rPr>
                <w:rFonts w:eastAsia="Times New Roman"/>
                <w:i/>
                <w:iCs/>
                <w:color w:val="000000"/>
                <w:lang w:val="en-KR" w:eastAsia="ko-KR"/>
              </w:rPr>
            </w:pPr>
            <w:proofErr w:type="spellStart"/>
            <w:r w:rsidRPr="00E07F4D">
              <w:rPr>
                <w:rFonts w:eastAsia="Times New Roman"/>
                <w:i/>
                <w:iCs/>
                <w:color w:val="000000"/>
                <w:lang w:val="en-GB" w:eastAsia="ko-KR"/>
              </w:rPr>
              <w:t>Degreep</w:t>
            </w:r>
            <w:proofErr w:type="spellEnd"/>
          </w:p>
        </w:tc>
        <w:tc>
          <w:tcPr>
            <w:tcW w:w="943" w:type="pct"/>
            <w:tcBorders>
              <w:top w:val="nil"/>
              <w:left w:val="nil"/>
              <w:bottom w:val="single" w:sz="4" w:space="0" w:color="auto"/>
              <w:right w:val="nil"/>
            </w:tcBorders>
            <w:shd w:val="clear" w:color="auto" w:fill="auto"/>
            <w:vAlign w:val="center"/>
            <w:hideMark/>
          </w:tcPr>
          <w:p w14:paraId="45062504" w14:textId="77777777" w:rsidR="000E3A94" w:rsidRPr="00E07F4D" w:rsidRDefault="000E3A94" w:rsidP="00AD715B">
            <w:pPr>
              <w:suppressAutoHyphens w:val="0"/>
              <w:spacing w:line="240" w:lineRule="auto"/>
              <w:jc w:val="center"/>
              <w:rPr>
                <w:rFonts w:eastAsia="Times New Roman"/>
                <w:i/>
                <w:iCs/>
                <w:color w:val="000000"/>
                <w:lang w:val="en-KR" w:eastAsia="ko-KR"/>
              </w:rPr>
            </w:pPr>
            <w:proofErr w:type="spellStart"/>
            <w:r w:rsidRPr="00E07F4D">
              <w:rPr>
                <w:rFonts w:eastAsia="Times New Roman"/>
                <w:i/>
                <w:iCs/>
                <w:color w:val="000000"/>
                <w:lang w:val="en-GB" w:eastAsia="ko-KR"/>
              </w:rPr>
              <w:t>Degreep</w:t>
            </w:r>
            <w:proofErr w:type="spellEnd"/>
          </w:p>
        </w:tc>
      </w:tr>
      <w:tr w:rsidR="000E3A94" w:rsidRPr="00E07F4D" w14:paraId="7F921F1D" w14:textId="77777777" w:rsidTr="00AD715B">
        <w:trPr>
          <w:trHeight w:val="340"/>
        </w:trPr>
        <w:tc>
          <w:tcPr>
            <w:tcW w:w="1226" w:type="pct"/>
            <w:tcBorders>
              <w:top w:val="nil"/>
              <w:left w:val="nil"/>
              <w:bottom w:val="nil"/>
              <w:right w:val="nil"/>
            </w:tcBorders>
            <w:shd w:val="clear" w:color="auto" w:fill="auto"/>
            <w:vAlign w:val="center"/>
            <w:hideMark/>
          </w:tcPr>
          <w:p w14:paraId="418A8170" w14:textId="77777777" w:rsidR="000E3A94" w:rsidRPr="00E07F4D" w:rsidRDefault="000E3A94" w:rsidP="00AD715B">
            <w:pPr>
              <w:suppressAutoHyphens w:val="0"/>
              <w:spacing w:line="240" w:lineRule="auto"/>
              <w:rPr>
                <w:rFonts w:eastAsia="Times New Roman"/>
                <w:i/>
                <w:iCs/>
                <w:color w:val="000000"/>
                <w:lang w:val="en-KR" w:eastAsia="ko-KR"/>
              </w:rPr>
            </w:pPr>
            <w:r w:rsidRPr="00E07F4D">
              <w:rPr>
                <w:rFonts w:eastAsia="Times New Roman"/>
                <w:i/>
                <w:iCs/>
                <w:color w:val="000000"/>
                <w:lang w:val="en-GB" w:eastAsia="ko-KR"/>
              </w:rPr>
              <w:t>Total</w:t>
            </w:r>
          </w:p>
        </w:tc>
        <w:tc>
          <w:tcPr>
            <w:tcW w:w="943" w:type="pct"/>
            <w:tcBorders>
              <w:top w:val="nil"/>
              <w:left w:val="nil"/>
              <w:bottom w:val="nil"/>
              <w:right w:val="nil"/>
            </w:tcBorders>
            <w:shd w:val="clear" w:color="auto" w:fill="auto"/>
            <w:vAlign w:val="center"/>
            <w:hideMark/>
          </w:tcPr>
          <w:p w14:paraId="79948C90"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0.7464***</w:t>
            </w:r>
          </w:p>
        </w:tc>
        <w:tc>
          <w:tcPr>
            <w:tcW w:w="943" w:type="pct"/>
            <w:tcBorders>
              <w:top w:val="nil"/>
              <w:left w:val="nil"/>
              <w:bottom w:val="nil"/>
              <w:right w:val="nil"/>
            </w:tcBorders>
            <w:shd w:val="clear" w:color="auto" w:fill="auto"/>
            <w:vAlign w:val="center"/>
            <w:hideMark/>
          </w:tcPr>
          <w:p w14:paraId="52E15936"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0.1573</w:t>
            </w:r>
          </w:p>
        </w:tc>
        <w:tc>
          <w:tcPr>
            <w:tcW w:w="943" w:type="pct"/>
            <w:tcBorders>
              <w:top w:val="nil"/>
              <w:left w:val="nil"/>
              <w:bottom w:val="nil"/>
              <w:right w:val="nil"/>
            </w:tcBorders>
            <w:shd w:val="clear" w:color="auto" w:fill="auto"/>
            <w:vAlign w:val="center"/>
            <w:hideMark/>
          </w:tcPr>
          <w:p w14:paraId="2A2851D9"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0.2308***</w:t>
            </w:r>
          </w:p>
        </w:tc>
        <w:tc>
          <w:tcPr>
            <w:tcW w:w="943" w:type="pct"/>
            <w:tcBorders>
              <w:top w:val="nil"/>
              <w:left w:val="nil"/>
              <w:bottom w:val="nil"/>
              <w:right w:val="nil"/>
            </w:tcBorders>
            <w:shd w:val="clear" w:color="auto" w:fill="auto"/>
            <w:vAlign w:val="center"/>
            <w:hideMark/>
          </w:tcPr>
          <w:p w14:paraId="67D8B484"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0.2259*</w:t>
            </w:r>
          </w:p>
        </w:tc>
      </w:tr>
      <w:tr w:rsidR="000E3A94" w:rsidRPr="00E07F4D" w14:paraId="0DA73D48" w14:textId="77777777" w:rsidTr="00AD715B">
        <w:trPr>
          <w:trHeight w:val="340"/>
        </w:trPr>
        <w:tc>
          <w:tcPr>
            <w:tcW w:w="1226" w:type="pct"/>
            <w:tcBorders>
              <w:top w:val="nil"/>
              <w:left w:val="nil"/>
              <w:bottom w:val="nil"/>
              <w:right w:val="nil"/>
            </w:tcBorders>
            <w:shd w:val="clear" w:color="auto" w:fill="auto"/>
            <w:vAlign w:val="center"/>
            <w:hideMark/>
          </w:tcPr>
          <w:p w14:paraId="23C0A2B5" w14:textId="77777777" w:rsidR="000E3A94" w:rsidRPr="00E07F4D" w:rsidRDefault="000E3A94" w:rsidP="00AD715B">
            <w:pPr>
              <w:suppressAutoHyphens w:val="0"/>
              <w:spacing w:line="240" w:lineRule="auto"/>
              <w:jc w:val="center"/>
              <w:rPr>
                <w:rFonts w:eastAsia="Times New Roman"/>
                <w:color w:val="000000"/>
                <w:lang w:val="en-KR" w:eastAsia="ko-KR"/>
              </w:rPr>
            </w:pPr>
          </w:p>
        </w:tc>
        <w:tc>
          <w:tcPr>
            <w:tcW w:w="943" w:type="pct"/>
            <w:tcBorders>
              <w:top w:val="nil"/>
              <w:left w:val="nil"/>
              <w:bottom w:val="nil"/>
              <w:right w:val="nil"/>
            </w:tcBorders>
            <w:shd w:val="clear" w:color="auto" w:fill="auto"/>
            <w:vAlign w:val="center"/>
            <w:hideMark/>
          </w:tcPr>
          <w:p w14:paraId="302EC74E"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(0.0483)</w:t>
            </w:r>
          </w:p>
        </w:tc>
        <w:tc>
          <w:tcPr>
            <w:tcW w:w="943" w:type="pct"/>
            <w:tcBorders>
              <w:top w:val="nil"/>
              <w:left w:val="nil"/>
              <w:bottom w:val="nil"/>
              <w:right w:val="nil"/>
            </w:tcBorders>
            <w:shd w:val="clear" w:color="auto" w:fill="auto"/>
            <w:vAlign w:val="center"/>
            <w:hideMark/>
          </w:tcPr>
          <w:p w14:paraId="0DA0D51A"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(0.1132)</w:t>
            </w:r>
          </w:p>
        </w:tc>
        <w:tc>
          <w:tcPr>
            <w:tcW w:w="943" w:type="pct"/>
            <w:tcBorders>
              <w:top w:val="nil"/>
              <w:left w:val="nil"/>
              <w:bottom w:val="nil"/>
              <w:right w:val="nil"/>
            </w:tcBorders>
            <w:shd w:val="clear" w:color="auto" w:fill="auto"/>
            <w:vAlign w:val="center"/>
            <w:hideMark/>
          </w:tcPr>
          <w:p w14:paraId="6E1C1125"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(0.0433)</w:t>
            </w:r>
          </w:p>
        </w:tc>
        <w:tc>
          <w:tcPr>
            <w:tcW w:w="943" w:type="pct"/>
            <w:tcBorders>
              <w:top w:val="nil"/>
              <w:left w:val="nil"/>
              <w:bottom w:val="nil"/>
              <w:right w:val="nil"/>
            </w:tcBorders>
            <w:shd w:val="clear" w:color="auto" w:fill="auto"/>
            <w:vAlign w:val="center"/>
            <w:hideMark/>
          </w:tcPr>
          <w:p w14:paraId="45CABC51"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(0.1283)</w:t>
            </w:r>
          </w:p>
        </w:tc>
      </w:tr>
      <w:tr w:rsidR="000E3A94" w:rsidRPr="00E07F4D" w14:paraId="400C572C" w14:textId="77777777" w:rsidTr="00AD715B">
        <w:trPr>
          <w:trHeight w:val="340"/>
        </w:trPr>
        <w:tc>
          <w:tcPr>
            <w:tcW w:w="1226" w:type="pct"/>
            <w:tcBorders>
              <w:top w:val="nil"/>
              <w:left w:val="nil"/>
              <w:bottom w:val="nil"/>
              <w:right w:val="nil"/>
            </w:tcBorders>
            <w:shd w:val="clear" w:color="auto" w:fill="auto"/>
            <w:vAlign w:val="center"/>
            <w:hideMark/>
          </w:tcPr>
          <w:p w14:paraId="63E69C11" w14:textId="77777777" w:rsidR="000E3A94" w:rsidRPr="00E07F4D" w:rsidRDefault="000E3A94" w:rsidP="00AD715B">
            <w:pPr>
              <w:suppressAutoHyphens w:val="0"/>
              <w:spacing w:line="240" w:lineRule="auto"/>
              <w:rPr>
                <w:rFonts w:eastAsia="Times New Roman"/>
                <w:i/>
                <w:iCs/>
                <w:color w:val="000000"/>
                <w:lang w:val="en-KR" w:eastAsia="ko-KR"/>
              </w:rPr>
            </w:pPr>
            <w:r w:rsidRPr="00E07F4D">
              <w:rPr>
                <w:rFonts w:eastAsia="Times New Roman"/>
                <w:i/>
                <w:iCs/>
                <w:color w:val="000000"/>
                <w:lang w:val="en-GB" w:eastAsia="ko-KR"/>
              </w:rPr>
              <w:t>ROA</w:t>
            </w:r>
          </w:p>
        </w:tc>
        <w:tc>
          <w:tcPr>
            <w:tcW w:w="943" w:type="pct"/>
            <w:tcBorders>
              <w:top w:val="nil"/>
              <w:left w:val="nil"/>
              <w:bottom w:val="nil"/>
              <w:right w:val="nil"/>
            </w:tcBorders>
            <w:shd w:val="clear" w:color="auto" w:fill="auto"/>
            <w:vAlign w:val="center"/>
            <w:hideMark/>
          </w:tcPr>
          <w:p w14:paraId="20FE18C3"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1.9267***</w:t>
            </w:r>
          </w:p>
        </w:tc>
        <w:tc>
          <w:tcPr>
            <w:tcW w:w="943" w:type="pct"/>
            <w:tcBorders>
              <w:top w:val="nil"/>
              <w:left w:val="nil"/>
              <w:bottom w:val="nil"/>
              <w:right w:val="nil"/>
            </w:tcBorders>
            <w:shd w:val="clear" w:color="auto" w:fill="auto"/>
            <w:vAlign w:val="center"/>
            <w:hideMark/>
          </w:tcPr>
          <w:p w14:paraId="4F08A97C"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4.2274***</w:t>
            </w:r>
          </w:p>
        </w:tc>
        <w:tc>
          <w:tcPr>
            <w:tcW w:w="943" w:type="pct"/>
            <w:tcBorders>
              <w:top w:val="nil"/>
              <w:left w:val="nil"/>
              <w:bottom w:val="nil"/>
              <w:right w:val="nil"/>
            </w:tcBorders>
            <w:shd w:val="clear" w:color="auto" w:fill="auto"/>
            <w:vAlign w:val="center"/>
            <w:hideMark/>
          </w:tcPr>
          <w:p w14:paraId="1A5AE02D"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0.2174</w:t>
            </w:r>
          </w:p>
        </w:tc>
        <w:tc>
          <w:tcPr>
            <w:tcW w:w="943" w:type="pct"/>
            <w:tcBorders>
              <w:top w:val="nil"/>
              <w:left w:val="nil"/>
              <w:bottom w:val="nil"/>
              <w:right w:val="nil"/>
            </w:tcBorders>
            <w:shd w:val="clear" w:color="auto" w:fill="auto"/>
            <w:vAlign w:val="center"/>
            <w:hideMark/>
          </w:tcPr>
          <w:p w14:paraId="2B56E7EE"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11.0484***</w:t>
            </w:r>
          </w:p>
        </w:tc>
      </w:tr>
      <w:tr w:rsidR="000E3A94" w:rsidRPr="00E07F4D" w14:paraId="6662A4E6" w14:textId="77777777" w:rsidTr="00AD715B">
        <w:trPr>
          <w:trHeight w:val="340"/>
        </w:trPr>
        <w:tc>
          <w:tcPr>
            <w:tcW w:w="1226" w:type="pct"/>
            <w:tcBorders>
              <w:top w:val="nil"/>
              <w:left w:val="nil"/>
              <w:bottom w:val="nil"/>
              <w:right w:val="nil"/>
            </w:tcBorders>
            <w:shd w:val="clear" w:color="auto" w:fill="auto"/>
            <w:vAlign w:val="center"/>
            <w:hideMark/>
          </w:tcPr>
          <w:p w14:paraId="3479184A" w14:textId="77777777" w:rsidR="000E3A94" w:rsidRPr="00E07F4D" w:rsidRDefault="000E3A94" w:rsidP="00AD715B">
            <w:pPr>
              <w:suppressAutoHyphens w:val="0"/>
              <w:spacing w:line="240" w:lineRule="auto"/>
              <w:jc w:val="center"/>
              <w:rPr>
                <w:rFonts w:eastAsia="Times New Roman"/>
                <w:color w:val="000000"/>
                <w:lang w:val="en-KR" w:eastAsia="ko-KR"/>
              </w:rPr>
            </w:pPr>
          </w:p>
        </w:tc>
        <w:tc>
          <w:tcPr>
            <w:tcW w:w="943" w:type="pct"/>
            <w:tcBorders>
              <w:top w:val="nil"/>
              <w:left w:val="nil"/>
              <w:bottom w:val="nil"/>
              <w:right w:val="nil"/>
            </w:tcBorders>
            <w:shd w:val="clear" w:color="auto" w:fill="auto"/>
            <w:vAlign w:val="center"/>
            <w:hideMark/>
          </w:tcPr>
          <w:p w14:paraId="24A5988A"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(0.3733)</w:t>
            </w:r>
          </w:p>
        </w:tc>
        <w:tc>
          <w:tcPr>
            <w:tcW w:w="943" w:type="pct"/>
            <w:tcBorders>
              <w:top w:val="nil"/>
              <w:left w:val="nil"/>
              <w:bottom w:val="nil"/>
              <w:right w:val="nil"/>
            </w:tcBorders>
            <w:shd w:val="clear" w:color="auto" w:fill="auto"/>
            <w:vAlign w:val="center"/>
            <w:hideMark/>
          </w:tcPr>
          <w:p w14:paraId="7FD9AECF"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(0.9464)</w:t>
            </w:r>
          </w:p>
        </w:tc>
        <w:tc>
          <w:tcPr>
            <w:tcW w:w="943" w:type="pct"/>
            <w:tcBorders>
              <w:top w:val="nil"/>
              <w:left w:val="nil"/>
              <w:bottom w:val="nil"/>
              <w:right w:val="nil"/>
            </w:tcBorders>
            <w:shd w:val="clear" w:color="auto" w:fill="auto"/>
            <w:vAlign w:val="center"/>
            <w:hideMark/>
          </w:tcPr>
          <w:p w14:paraId="5D1442BE"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(0.2528)</w:t>
            </w:r>
          </w:p>
        </w:tc>
        <w:tc>
          <w:tcPr>
            <w:tcW w:w="943" w:type="pct"/>
            <w:tcBorders>
              <w:top w:val="nil"/>
              <w:left w:val="nil"/>
              <w:bottom w:val="nil"/>
              <w:right w:val="nil"/>
            </w:tcBorders>
            <w:shd w:val="clear" w:color="auto" w:fill="auto"/>
            <w:vAlign w:val="center"/>
            <w:hideMark/>
          </w:tcPr>
          <w:p w14:paraId="6D51637D"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(1.7235)</w:t>
            </w:r>
          </w:p>
        </w:tc>
      </w:tr>
      <w:tr w:rsidR="000E3A94" w:rsidRPr="00E07F4D" w14:paraId="4851AD50" w14:textId="77777777" w:rsidTr="00AD715B">
        <w:trPr>
          <w:trHeight w:val="340"/>
        </w:trPr>
        <w:tc>
          <w:tcPr>
            <w:tcW w:w="1226" w:type="pct"/>
            <w:tcBorders>
              <w:top w:val="nil"/>
              <w:left w:val="nil"/>
              <w:bottom w:val="nil"/>
              <w:right w:val="nil"/>
            </w:tcBorders>
            <w:shd w:val="clear" w:color="auto" w:fill="auto"/>
            <w:vAlign w:val="center"/>
            <w:hideMark/>
          </w:tcPr>
          <w:p w14:paraId="715CFA5F" w14:textId="77777777" w:rsidR="000E3A94" w:rsidRPr="00E07F4D" w:rsidRDefault="000E3A94" w:rsidP="00AD715B">
            <w:pPr>
              <w:suppressAutoHyphens w:val="0"/>
              <w:spacing w:line="240" w:lineRule="auto"/>
              <w:rPr>
                <w:rFonts w:eastAsia="Times New Roman"/>
                <w:i/>
                <w:iCs/>
                <w:color w:val="000000"/>
                <w:lang w:val="en-KR" w:eastAsia="ko-KR"/>
              </w:rPr>
            </w:pPr>
            <w:r w:rsidRPr="00E07F4D">
              <w:rPr>
                <w:rFonts w:eastAsia="Times New Roman"/>
                <w:i/>
                <w:iCs/>
                <w:color w:val="000000"/>
                <w:lang w:val="en-GB" w:eastAsia="ko-KR"/>
              </w:rPr>
              <w:t>Solvency</w:t>
            </w:r>
          </w:p>
        </w:tc>
        <w:tc>
          <w:tcPr>
            <w:tcW w:w="943" w:type="pct"/>
            <w:tcBorders>
              <w:top w:val="nil"/>
              <w:left w:val="nil"/>
              <w:bottom w:val="nil"/>
              <w:right w:val="nil"/>
            </w:tcBorders>
            <w:shd w:val="clear" w:color="auto" w:fill="auto"/>
            <w:vAlign w:val="center"/>
            <w:hideMark/>
          </w:tcPr>
          <w:p w14:paraId="16FE0128"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-0.1157**</w:t>
            </w:r>
          </w:p>
        </w:tc>
        <w:tc>
          <w:tcPr>
            <w:tcW w:w="943" w:type="pct"/>
            <w:tcBorders>
              <w:top w:val="nil"/>
              <w:left w:val="nil"/>
              <w:bottom w:val="nil"/>
              <w:right w:val="nil"/>
            </w:tcBorders>
            <w:shd w:val="clear" w:color="auto" w:fill="auto"/>
            <w:vAlign w:val="center"/>
            <w:hideMark/>
          </w:tcPr>
          <w:p w14:paraId="297F0B90"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-0.186</w:t>
            </w:r>
          </w:p>
        </w:tc>
        <w:tc>
          <w:tcPr>
            <w:tcW w:w="943" w:type="pct"/>
            <w:tcBorders>
              <w:top w:val="nil"/>
              <w:left w:val="nil"/>
              <w:bottom w:val="nil"/>
              <w:right w:val="nil"/>
            </w:tcBorders>
            <w:shd w:val="clear" w:color="auto" w:fill="auto"/>
            <w:vAlign w:val="center"/>
            <w:hideMark/>
          </w:tcPr>
          <w:p w14:paraId="09EB575A"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-0.0319</w:t>
            </w:r>
          </w:p>
        </w:tc>
        <w:tc>
          <w:tcPr>
            <w:tcW w:w="943" w:type="pct"/>
            <w:tcBorders>
              <w:top w:val="nil"/>
              <w:left w:val="nil"/>
              <w:bottom w:val="nil"/>
              <w:right w:val="nil"/>
            </w:tcBorders>
            <w:shd w:val="clear" w:color="auto" w:fill="auto"/>
            <w:vAlign w:val="center"/>
            <w:hideMark/>
          </w:tcPr>
          <w:p w14:paraId="2482C87A"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-1.0528**</w:t>
            </w:r>
          </w:p>
        </w:tc>
      </w:tr>
      <w:tr w:rsidR="000E3A94" w:rsidRPr="00E07F4D" w14:paraId="313E640E" w14:textId="77777777" w:rsidTr="00AD715B">
        <w:trPr>
          <w:trHeight w:val="340"/>
        </w:trPr>
        <w:tc>
          <w:tcPr>
            <w:tcW w:w="1226" w:type="pct"/>
            <w:tcBorders>
              <w:top w:val="nil"/>
              <w:left w:val="nil"/>
              <w:bottom w:val="nil"/>
              <w:right w:val="nil"/>
            </w:tcBorders>
            <w:shd w:val="clear" w:color="auto" w:fill="auto"/>
            <w:vAlign w:val="center"/>
            <w:hideMark/>
          </w:tcPr>
          <w:p w14:paraId="0072AA5C" w14:textId="77777777" w:rsidR="000E3A94" w:rsidRPr="00E07F4D" w:rsidRDefault="000E3A94" w:rsidP="00AD715B">
            <w:pPr>
              <w:suppressAutoHyphens w:val="0"/>
              <w:spacing w:line="240" w:lineRule="auto"/>
              <w:jc w:val="center"/>
              <w:rPr>
                <w:rFonts w:eastAsia="Times New Roman"/>
                <w:color w:val="000000"/>
                <w:lang w:val="en-KR" w:eastAsia="ko-KR"/>
              </w:rPr>
            </w:pPr>
          </w:p>
        </w:tc>
        <w:tc>
          <w:tcPr>
            <w:tcW w:w="943" w:type="pct"/>
            <w:tcBorders>
              <w:top w:val="nil"/>
              <w:left w:val="nil"/>
              <w:bottom w:val="nil"/>
              <w:right w:val="nil"/>
            </w:tcBorders>
            <w:shd w:val="clear" w:color="auto" w:fill="auto"/>
            <w:vAlign w:val="center"/>
            <w:hideMark/>
          </w:tcPr>
          <w:p w14:paraId="49FE4C29"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(0.0507)</w:t>
            </w:r>
          </w:p>
        </w:tc>
        <w:tc>
          <w:tcPr>
            <w:tcW w:w="943" w:type="pct"/>
            <w:tcBorders>
              <w:top w:val="nil"/>
              <w:left w:val="nil"/>
              <w:bottom w:val="nil"/>
              <w:right w:val="nil"/>
            </w:tcBorders>
            <w:shd w:val="clear" w:color="auto" w:fill="auto"/>
            <w:vAlign w:val="center"/>
            <w:hideMark/>
          </w:tcPr>
          <w:p w14:paraId="3BBC9856"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(0.1279)</w:t>
            </w:r>
          </w:p>
        </w:tc>
        <w:tc>
          <w:tcPr>
            <w:tcW w:w="943" w:type="pct"/>
            <w:tcBorders>
              <w:top w:val="nil"/>
              <w:left w:val="nil"/>
              <w:bottom w:val="nil"/>
              <w:right w:val="nil"/>
            </w:tcBorders>
            <w:shd w:val="clear" w:color="auto" w:fill="auto"/>
            <w:vAlign w:val="center"/>
            <w:hideMark/>
          </w:tcPr>
          <w:p w14:paraId="4D2CFF92"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(0.0328)</w:t>
            </w:r>
          </w:p>
        </w:tc>
        <w:tc>
          <w:tcPr>
            <w:tcW w:w="943" w:type="pct"/>
            <w:tcBorders>
              <w:top w:val="nil"/>
              <w:left w:val="nil"/>
              <w:bottom w:val="nil"/>
              <w:right w:val="nil"/>
            </w:tcBorders>
            <w:shd w:val="clear" w:color="auto" w:fill="auto"/>
            <w:vAlign w:val="center"/>
            <w:hideMark/>
          </w:tcPr>
          <w:p w14:paraId="52556632"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(0.4669)</w:t>
            </w:r>
          </w:p>
        </w:tc>
      </w:tr>
      <w:tr w:rsidR="000E3A94" w:rsidRPr="00E07F4D" w14:paraId="78354A53" w14:textId="77777777" w:rsidTr="00AD715B">
        <w:trPr>
          <w:trHeight w:val="340"/>
        </w:trPr>
        <w:tc>
          <w:tcPr>
            <w:tcW w:w="1226" w:type="pct"/>
            <w:tcBorders>
              <w:top w:val="nil"/>
              <w:left w:val="nil"/>
              <w:bottom w:val="nil"/>
              <w:right w:val="nil"/>
            </w:tcBorders>
            <w:shd w:val="clear" w:color="auto" w:fill="auto"/>
            <w:vAlign w:val="center"/>
            <w:hideMark/>
          </w:tcPr>
          <w:p w14:paraId="41914966" w14:textId="77777777" w:rsidR="000E3A94" w:rsidRPr="00E07F4D" w:rsidRDefault="000E3A94" w:rsidP="00AD715B">
            <w:pPr>
              <w:suppressAutoHyphens w:val="0"/>
              <w:spacing w:line="240" w:lineRule="auto"/>
              <w:rPr>
                <w:rFonts w:eastAsia="Times New Roman"/>
                <w:i/>
                <w:iCs/>
                <w:color w:val="000000"/>
                <w:lang w:val="en-KR" w:eastAsia="ko-KR"/>
              </w:rPr>
            </w:pPr>
            <w:r w:rsidRPr="00E07F4D">
              <w:rPr>
                <w:rFonts w:eastAsia="Times New Roman"/>
                <w:i/>
                <w:iCs/>
                <w:color w:val="000000"/>
                <w:lang w:val="en-GB" w:eastAsia="ko-KR"/>
              </w:rPr>
              <w:t>Age</w:t>
            </w:r>
          </w:p>
        </w:tc>
        <w:tc>
          <w:tcPr>
            <w:tcW w:w="943" w:type="pct"/>
            <w:tcBorders>
              <w:top w:val="nil"/>
              <w:left w:val="nil"/>
              <w:bottom w:val="nil"/>
              <w:right w:val="nil"/>
            </w:tcBorders>
            <w:shd w:val="clear" w:color="auto" w:fill="auto"/>
            <w:vAlign w:val="center"/>
            <w:hideMark/>
          </w:tcPr>
          <w:p w14:paraId="7DB99F80"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-0.0934*</w:t>
            </w:r>
          </w:p>
        </w:tc>
        <w:tc>
          <w:tcPr>
            <w:tcW w:w="943" w:type="pct"/>
            <w:tcBorders>
              <w:top w:val="nil"/>
              <w:left w:val="nil"/>
              <w:bottom w:val="nil"/>
              <w:right w:val="nil"/>
            </w:tcBorders>
            <w:shd w:val="clear" w:color="auto" w:fill="auto"/>
            <w:vAlign w:val="center"/>
            <w:hideMark/>
          </w:tcPr>
          <w:p w14:paraId="5528DC59"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-0.1729*</w:t>
            </w:r>
          </w:p>
        </w:tc>
        <w:tc>
          <w:tcPr>
            <w:tcW w:w="943" w:type="pct"/>
            <w:tcBorders>
              <w:top w:val="nil"/>
              <w:left w:val="nil"/>
              <w:bottom w:val="nil"/>
              <w:right w:val="nil"/>
            </w:tcBorders>
            <w:shd w:val="clear" w:color="auto" w:fill="auto"/>
            <w:vAlign w:val="center"/>
            <w:hideMark/>
          </w:tcPr>
          <w:p w14:paraId="1B9A1CEC"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0.1645***</w:t>
            </w:r>
          </w:p>
        </w:tc>
        <w:tc>
          <w:tcPr>
            <w:tcW w:w="943" w:type="pct"/>
            <w:tcBorders>
              <w:top w:val="nil"/>
              <w:left w:val="nil"/>
              <w:bottom w:val="nil"/>
              <w:right w:val="nil"/>
            </w:tcBorders>
            <w:shd w:val="clear" w:color="auto" w:fill="auto"/>
            <w:vAlign w:val="center"/>
            <w:hideMark/>
          </w:tcPr>
          <w:p w14:paraId="0254545E"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-0.1687</w:t>
            </w:r>
          </w:p>
        </w:tc>
      </w:tr>
      <w:tr w:rsidR="000E3A94" w:rsidRPr="00E07F4D" w14:paraId="50EA04FD" w14:textId="77777777" w:rsidTr="00AD715B">
        <w:trPr>
          <w:trHeight w:val="340"/>
        </w:trPr>
        <w:tc>
          <w:tcPr>
            <w:tcW w:w="1226" w:type="pct"/>
            <w:tcBorders>
              <w:top w:val="nil"/>
              <w:left w:val="nil"/>
              <w:bottom w:val="nil"/>
              <w:right w:val="nil"/>
            </w:tcBorders>
            <w:shd w:val="clear" w:color="auto" w:fill="auto"/>
            <w:vAlign w:val="center"/>
            <w:hideMark/>
          </w:tcPr>
          <w:p w14:paraId="2F714A7E" w14:textId="77777777" w:rsidR="000E3A94" w:rsidRPr="00E07F4D" w:rsidRDefault="000E3A94" w:rsidP="00AD715B">
            <w:pPr>
              <w:suppressAutoHyphens w:val="0"/>
              <w:spacing w:line="240" w:lineRule="auto"/>
              <w:jc w:val="center"/>
              <w:rPr>
                <w:rFonts w:eastAsia="Times New Roman"/>
                <w:color w:val="000000"/>
                <w:lang w:val="en-KR" w:eastAsia="ko-KR"/>
              </w:rPr>
            </w:pPr>
          </w:p>
        </w:tc>
        <w:tc>
          <w:tcPr>
            <w:tcW w:w="943" w:type="pct"/>
            <w:tcBorders>
              <w:top w:val="nil"/>
              <w:left w:val="nil"/>
              <w:bottom w:val="nil"/>
              <w:right w:val="nil"/>
            </w:tcBorders>
            <w:shd w:val="clear" w:color="auto" w:fill="auto"/>
            <w:vAlign w:val="center"/>
            <w:hideMark/>
          </w:tcPr>
          <w:p w14:paraId="2843833D"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(0.0498)</w:t>
            </w:r>
          </w:p>
        </w:tc>
        <w:tc>
          <w:tcPr>
            <w:tcW w:w="943" w:type="pct"/>
            <w:tcBorders>
              <w:top w:val="nil"/>
              <w:left w:val="nil"/>
              <w:bottom w:val="nil"/>
              <w:right w:val="nil"/>
            </w:tcBorders>
            <w:shd w:val="clear" w:color="auto" w:fill="auto"/>
            <w:vAlign w:val="center"/>
            <w:hideMark/>
          </w:tcPr>
          <w:p w14:paraId="410E8F3B"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(0.1039)</w:t>
            </w:r>
          </w:p>
        </w:tc>
        <w:tc>
          <w:tcPr>
            <w:tcW w:w="943" w:type="pct"/>
            <w:tcBorders>
              <w:top w:val="nil"/>
              <w:left w:val="nil"/>
              <w:bottom w:val="nil"/>
              <w:right w:val="nil"/>
            </w:tcBorders>
            <w:shd w:val="clear" w:color="auto" w:fill="auto"/>
            <w:vAlign w:val="center"/>
            <w:hideMark/>
          </w:tcPr>
          <w:p w14:paraId="66999CA1"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(0.0388)</w:t>
            </w:r>
          </w:p>
        </w:tc>
        <w:tc>
          <w:tcPr>
            <w:tcW w:w="943" w:type="pct"/>
            <w:tcBorders>
              <w:top w:val="nil"/>
              <w:left w:val="nil"/>
              <w:bottom w:val="nil"/>
              <w:right w:val="nil"/>
            </w:tcBorders>
            <w:shd w:val="clear" w:color="auto" w:fill="auto"/>
            <w:vAlign w:val="center"/>
            <w:hideMark/>
          </w:tcPr>
          <w:p w14:paraId="2E1AB04B"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(0.1680)</w:t>
            </w:r>
          </w:p>
        </w:tc>
      </w:tr>
      <w:tr w:rsidR="000E3A94" w:rsidRPr="00E07F4D" w14:paraId="78989511" w14:textId="77777777" w:rsidTr="00AD715B">
        <w:trPr>
          <w:trHeight w:val="340"/>
        </w:trPr>
        <w:tc>
          <w:tcPr>
            <w:tcW w:w="1226" w:type="pct"/>
            <w:tcBorders>
              <w:top w:val="nil"/>
              <w:left w:val="nil"/>
              <w:bottom w:val="nil"/>
              <w:right w:val="nil"/>
            </w:tcBorders>
            <w:shd w:val="clear" w:color="auto" w:fill="auto"/>
            <w:vAlign w:val="center"/>
            <w:hideMark/>
          </w:tcPr>
          <w:p w14:paraId="3CCE2C49" w14:textId="77777777" w:rsidR="000E3A94" w:rsidRPr="00E07F4D" w:rsidRDefault="000E3A94" w:rsidP="00AD715B">
            <w:pPr>
              <w:suppressAutoHyphens w:val="0"/>
              <w:spacing w:line="240" w:lineRule="auto"/>
              <w:rPr>
                <w:rFonts w:eastAsia="Times New Roman"/>
                <w:i/>
                <w:iCs/>
                <w:color w:val="000000"/>
                <w:lang w:val="en-KR" w:eastAsia="ko-KR"/>
              </w:rPr>
            </w:pPr>
            <w:r w:rsidRPr="00E07F4D">
              <w:rPr>
                <w:rFonts w:eastAsia="Times New Roman"/>
                <w:i/>
                <w:iCs/>
                <w:color w:val="000000"/>
                <w:lang w:val="en-GB" w:eastAsia="ko-KR"/>
              </w:rPr>
              <w:t>Constant</w:t>
            </w:r>
          </w:p>
        </w:tc>
        <w:tc>
          <w:tcPr>
            <w:tcW w:w="943" w:type="pct"/>
            <w:tcBorders>
              <w:top w:val="nil"/>
              <w:left w:val="nil"/>
              <w:bottom w:val="nil"/>
              <w:right w:val="nil"/>
            </w:tcBorders>
            <w:shd w:val="clear" w:color="auto" w:fill="auto"/>
            <w:vAlign w:val="center"/>
            <w:hideMark/>
          </w:tcPr>
          <w:p w14:paraId="4C85C635"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4.8288***</w:t>
            </w:r>
          </w:p>
        </w:tc>
        <w:tc>
          <w:tcPr>
            <w:tcW w:w="943" w:type="pct"/>
            <w:tcBorders>
              <w:top w:val="nil"/>
              <w:left w:val="nil"/>
              <w:bottom w:val="nil"/>
              <w:right w:val="nil"/>
            </w:tcBorders>
            <w:shd w:val="clear" w:color="auto" w:fill="auto"/>
            <w:vAlign w:val="center"/>
            <w:hideMark/>
          </w:tcPr>
          <w:p w14:paraId="4311C95A"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6.8688***</w:t>
            </w:r>
          </w:p>
        </w:tc>
        <w:tc>
          <w:tcPr>
            <w:tcW w:w="943" w:type="pct"/>
            <w:tcBorders>
              <w:top w:val="nil"/>
              <w:left w:val="nil"/>
              <w:bottom w:val="nil"/>
              <w:right w:val="nil"/>
            </w:tcBorders>
            <w:shd w:val="clear" w:color="auto" w:fill="auto"/>
            <w:vAlign w:val="center"/>
            <w:hideMark/>
          </w:tcPr>
          <w:p w14:paraId="1C666354"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2.3994***</w:t>
            </w:r>
          </w:p>
        </w:tc>
        <w:tc>
          <w:tcPr>
            <w:tcW w:w="943" w:type="pct"/>
            <w:tcBorders>
              <w:top w:val="nil"/>
              <w:left w:val="nil"/>
              <w:bottom w:val="nil"/>
              <w:right w:val="nil"/>
            </w:tcBorders>
            <w:shd w:val="clear" w:color="auto" w:fill="auto"/>
            <w:vAlign w:val="center"/>
            <w:hideMark/>
          </w:tcPr>
          <w:p w14:paraId="1EFD5AFE"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9.5143***</w:t>
            </w:r>
          </w:p>
        </w:tc>
      </w:tr>
      <w:tr w:rsidR="000E3A94" w:rsidRPr="00E07F4D" w14:paraId="7704488E" w14:textId="77777777" w:rsidTr="00AD715B">
        <w:trPr>
          <w:trHeight w:val="340"/>
        </w:trPr>
        <w:tc>
          <w:tcPr>
            <w:tcW w:w="1226" w:type="pct"/>
            <w:tcBorders>
              <w:top w:val="nil"/>
              <w:left w:val="nil"/>
              <w:bottom w:val="nil"/>
              <w:right w:val="nil"/>
            </w:tcBorders>
            <w:shd w:val="clear" w:color="auto" w:fill="auto"/>
            <w:vAlign w:val="center"/>
            <w:hideMark/>
          </w:tcPr>
          <w:p w14:paraId="109BA25E" w14:textId="77777777" w:rsidR="000E3A94" w:rsidRPr="00E07F4D" w:rsidRDefault="000E3A94" w:rsidP="00AD715B">
            <w:pPr>
              <w:suppressAutoHyphens w:val="0"/>
              <w:spacing w:line="240" w:lineRule="auto"/>
              <w:jc w:val="center"/>
              <w:rPr>
                <w:rFonts w:eastAsia="Times New Roman"/>
                <w:color w:val="000000"/>
                <w:lang w:val="en-KR" w:eastAsia="ko-KR"/>
              </w:rPr>
            </w:pPr>
          </w:p>
        </w:tc>
        <w:tc>
          <w:tcPr>
            <w:tcW w:w="943" w:type="pct"/>
            <w:tcBorders>
              <w:top w:val="nil"/>
              <w:left w:val="nil"/>
              <w:bottom w:val="nil"/>
              <w:right w:val="nil"/>
            </w:tcBorders>
            <w:shd w:val="clear" w:color="auto" w:fill="auto"/>
            <w:vAlign w:val="center"/>
            <w:hideMark/>
          </w:tcPr>
          <w:p w14:paraId="3DB0A6EC"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(0.1167)</w:t>
            </w:r>
          </w:p>
        </w:tc>
        <w:tc>
          <w:tcPr>
            <w:tcW w:w="943" w:type="pct"/>
            <w:tcBorders>
              <w:top w:val="nil"/>
              <w:left w:val="nil"/>
              <w:bottom w:val="nil"/>
              <w:right w:val="nil"/>
            </w:tcBorders>
            <w:shd w:val="clear" w:color="auto" w:fill="auto"/>
            <w:vAlign w:val="center"/>
            <w:hideMark/>
          </w:tcPr>
          <w:p w14:paraId="3D007D1B"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(0.2564)</w:t>
            </w:r>
          </w:p>
        </w:tc>
        <w:tc>
          <w:tcPr>
            <w:tcW w:w="943" w:type="pct"/>
            <w:tcBorders>
              <w:top w:val="nil"/>
              <w:left w:val="nil"/>
              <w:bottom w:val="nil"/>
              <w:right w:val="nil"/>
            </w:tcBorders>
            <w:shd w:val="clear" w:color="auto" w:fill="auto"/>
            <w:vAlign w:val="center"/>
            <w:hideMark/>
          </w:tcPr>
          <w:p w14:paraId="56CC58B0"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(0.0893)</w:t>
            </w:r>
          </w:p>
        </w:tc>
        <w:tc>
          <w:tcPr>
            <w:tcW w:w="943" w:type="pct"/>
            <w:tcBorders>
              <w:top w:val="nil"/>
              <w:left w:val="nil"/>
              <w:bottom w:val="nil"/>
              <w:right w:val="nil"/>
            </w:tcBorders>
            <w:shd w:val="clear" w:color="auto" w:fill="auto"/>
            <w:vAlign w:val="center"/>
            <w:hideMark/>
          </w:tcPr>
          <w:p w14:paraId="787336A5"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(0.3988)</w:t>
            </w:r>
          </w:p>
        </w:tc>
      </w:tr>
      <w:tr w:rsidR="000E3A94" w:rsidRPr="00E07F4D" w14:paraId="6B8DFE35" w14:textId="77777777" w:rsidTr="00AD715B">
        <w:trPr>
          <w:trHeight w:val="320"/>
        </w:trPr>
        <w:tc>
          <w:tcPr>
            <w:tcW w:w="1226" w:type="pct"/>
            <w:tcBorders>
              <w:top w:val="nil"/>
              <w:left w:val="nil"/>
              <w:bottom w:val="nil"/>
              <w:right w:val="nil"/>
            </w:tcBorders>
            <w:shd w:val="clear" w:color="auto" w:fill="auto"/>
            <w:vAlign w:val="center"/>
            <w:hideMark/>
          </w:tcPr>
          <w:p w14:paraId="7A607016" w14:textId="77777777" w:rsidR="000E3A94" w:rsidRPr="00E07F4D" w:rsidRDefault="000E3A94" w:rsidP="00AD715B">
            <w:pPr>
              <w:suppressAutoHyphens w:val="0"/>
              <w:spacing w:line="240" w:lineRule="auto"/>
              <w:jc w:val="center"/>
              <w:rPr>
                <w:rFonts w:eastAsia="Times New Roman"/>
                <w:color w:val="000000"/>
                <w:lang w:val="en-KR" w:eastAsia="ko-KR"/>
              </w:rPr>
            </w:pPr>
          </w:p>
        </w:tc>
        <w:tc>
          <w:tcPr>
            <w:tcW w:w="943" w:type="pct"/>
            <w:tcBorders>
              <w:top w:val="nil"/>
              <w:left w:val="nil"/>
              <w:bottom w:val="nil"/>
              <w:right w:val="nil"/>
            </w:tcBorders>
            <w:shd w:val="clear" w:color="auto" w:fill="auto"/>
            <w:vAlign w:val="center"/>
            <w:hideMark/>
          </w:tcPr>
          <w:p w14:paraId="60B8E99C" w14:textId="77777777" w:rsidR="000E3A94" w:rsidRPr="00E07F4D" w:rsidRDefault="000E3A94" w:rsidP="00AD715B">
            <w:pPr>
              <w:suppressAutoHyphens w:val="0"/>
              <w:spacing w:line="240" w:lineRule="auto"/>
              <w:rPr>
                <w:rFonts w:eastAsia="Times New Roman"/>
                <w:sz w:val="20"/>
                <w:szCs w:val="20"/>
                <w:lang w:val="en-KR" w:eastAsia="ko-KR"/>
              </w:rPr>
            </w:pPr>
          </w:p>
        </w:tc>
        <w:tc>
          <w:tcPr>
            <w:tcW w:w="943" w:type="pct"/>
            <w:tcBorders>
              <w:top w:val="nil"/>
              <w:left w:val="nil"/>
              <w:bottom w:val="nil"/>
              <w:right w:val="nil"/>
            </w:tcBorders>
            <w:shd w:val="clear" w:color="auto" w:fill="auto"/>
            <w:vAlign w:val="center"/>
            <w:hideMark/>
          </w:tcPr>
          <w:p w14:paraId="30E6FBFC" w14:textId="77777777" w:rsidR="000E3A94" w:rsidRPr="00E07F4D" w:rsidRDefault="000E3A94" w:rsidP="00AD715B">
            <w:pPr>
              <w:suppressAutoHyphens w:val="0"/>
              <w:spacing w:line="240" w:lineRule="auto"/>
              <w:jc w:val="center"/>
              <w:rPr>
                <w:rFonts w:eastAsia="Times New Roman"/>
                <w:sz w:val="20"/>
                <w:szCs w:val="20"/>
                <w:lang w:val="en-KR" w:eastAsia="ko-KR"/>
              </w:rPr>
            </w:pPr>
          </w:p>
        </w:tc>
        <w:tc>
          <w:tcPr>
            <w:tcW w:w="943" w:type="pct"/>
            <w:tcBorders>
              <w:top w:val="nil"/>
              <w:left w:val="nil"/>
              <w:bottom w:val="nil"/>
              <w:right w:val="nil"/>
            </w:tcBorders>
            <w:shd w:val="clear" w:color="auto" w:fill="auto"/>
            <w:vAlign w:val="center"/>
            <w:hideMark/>
          </w:tcPr>
          <w:p w14:paraId="285DC51F" w14:textId="77777777" w:rsidR="000E3A94" w:rsidRPr="00E07F4D" w:rsidRDefault="000E3A94" w:rsidP="00AD715B">
            <w:pPr>
              <w:suppressAutoHyphens w:val="0"/>
              <w:spacing w:line="240" w:lineRule="auto"/>
              <w:jc w:val="center"/>
              <w:rPr>
                <w:rFonts w:eastAsia="Times New Roman"/>
                <w:sz w:val="20"/>
                <w:szCs w:val="20"/>
                <w:lang w:val="en-KR" w:eastAsia="ko-KR"/>
              </w:rPr>
            </w:pPr>
          </w:p>
        </w:tc>
        <w:tc>
          <w:tcPr>
            <w:tcW w:w="943" w:type="pct"/>
            <w:tcBorders>
              <w:top w:val="nil"/>
              <w:left w:val="nil"/>
              <w:bottom w:val="nil"/>
              <w:right w:val="nil"/>
            </w:tcBorders>
            <w:shd w:val="clear" w:color="auto" w:fill="auto"/>
            <w:vAlign w:val="center"/>
            <w:hideMark/>
          </w:tcPr>
          <w:p w14:paraId="305FF02F" w14:textId="77777777" w:rsidR="000E3A94" w:rsidRPr="00E07F4D" w:rsidRDefault="000E3A94" w:rsidP="00AD715B">
            <w:pPr>
              <w:suppressAutoHyphens w:val="0"/>
              <w:spacing w:line="240" w:lineRule="auto"/>
              <w:jc w:val="center"/>
              <w:rPr>
                <w:rFonts w:eastAsia="Times New Roman"/>
                <w:sz w:val="20"/>
                <w:szCs w:val="20"/>
                <w:lang w:val="en-KR" w:eastAsia="ko-KR"/>
              </w:rPr>
            </w:pPr>
          </w:p>
        </w:tc>
      </w:tr>
      <w:tr w:rsidR="000E3A94" w:rsidRPr="00E07F4D" w14:paraId="4C549BAA" w14:textId="77777777" w:rsidTr="00AD715B">
        <w:trPr>
          <w:trHeight w:val="340"/>
        </w:trPr>
        <w:tc>
          <w:tcPr>
            <w:tcW w:w="1226" w:type="pct"/>
            <w:tcBorders>
              <w:top w:val="nil"/>
              <w:left w:val="nil"/>
              <w:bottom w:val="nil"/>
              <w:right w:val="nil"/>
            </w:tcBorders>
            <w:shd w:val="clear" w:color="auto" w:fill="auto"/>
            <w:vAlign w:val="center"/>
            <w:hideMark/>
          </w:tcPr>
          <w:p w14:paraId="415E2DDE" w14:textId="77777777" w:rsidR="000E3A94" w:rsidRPr="00E07F4D" w:rsidRDefault="000E3A94" w:rsidP="00AD715B">
            <w:pPr>
              <w:suppressAutoHyphens w:val="0"/>
              <w:spacing w:line="240" w:lineRule="auto"/>
              <w:rPr>
                <w:rFonts w:eastAsia="Times New Roman"/>
                <w:i/>
                <w:iCs/>
                <w:color w:val="000000"/>
                <w:lang w:val="en-KR" w:eastAsia="ko-KR"/>
              </w:rPr>
            </w:pPr>
            <w:r w:rsidRPr="00E07F4D">
              <w:rPr>
                <w:rFonts w:eastAsia="Times New Roman"/>
                <w:i/>
                <w:iCs/>
                <w:color w:val="000000"/>
                <w:lang w:val="en-GB" w:eastAsia="ko-KR"/>
              </w:rPr>
              <w:t>Year</w:t>
            </w:r>
          </w:p>
        </w:tc>
        <w:tc>
          <w:tcPr>
            <w:tcW w:w="943" w:type="pct"/>
            <w:tcBorders>
              <w:top w:val="nil"/>
              <w:left w:val="nil"/>
              <w:bottom w:val="nil"/>
              <w:right w:val="nil"/>
            </w:tcBorders>
            <w:shd w:val="clear" w:color="auto" w:fill="auto"/>
            <w:vAlign w:val="center"/>
            <w:hideMark/>
          </w:tcPr>
          <w:p w14:paraId="551265CE"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c>
          <w:tcPr>
            <w:tcW w:w="943" w:type="pct"/>
            <w:tcBorders>
              <w:top w:val="nil"/>
              <w:left w:val="nil"/>
              <w:bottom w:val="nil"/>
              <w:right w:val="nil"/>
            </w:tcBorders>
            <w:shd w:val="clear" w:color="auto" w:fill="auto"/>
            <w:vAlign w:val="center"/>
            <w:hideMark/>
          </w:tcPr>
          <w:p w14:paraId="3DD8669A"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c>
          <w:tcPr>
            <w:tcW w:w="943" w:type="pct"/>
            <w:tcBorders>
              <w:top w:val="nil"/>
              <w:left w:val="nil"/>
              <w:bottom w:val="nil"/>
              <w:right w:val="nil"/>
            </w:tcBorders>
            <w:shd w:val="clear" w:color="auto" w:fill="auto"/>
            <w:vAlign w:val="center"/>
            <w:hideMark/>
          </w:tcPr>
          <w:p w14:paraId="31E508D3"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c>
          <w:tcPr>
            <w:tcW w:w="943" w:type="pct"/>
            <w:tcBorders>
              <w:top w:val="nil"/>
              <w:left w:val="nil"/>
              <w:bottom w:val="nil"/>
              <w:right w:val="nil"/>
            </w:tcBorders>
            <w:shd w:val="clear" w:color="auto" w:fill="auto"/>
            <w:vAlign w:val="center"/>
            <w:hideMark/>
          </w:tcPr>
          <w:p w14:paraId="3A904930"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r>
      <w:tr w:rsidR="000E3A94" w:rsidRPr="00E07F4D" w14:paraId="7283E6A7" w14:textId="77777777" w:rsidTr="00AD715B">
        <w:trPr>
          <w:trHeight w:val="340"/>
        </w:trPr>
        <w:tc>
          <w:tcPr>
            <w:tcW w:w="1226" w:type="pct"/>
            <w:tcBorders>
              <w:top w:val="nil"/>
              <w:left w:val="nil"/>
              <w:bottom w:val="nil"/>
              <w:right w:val="nil"/>
            </w:tcBorders>
            <w:shd w:val="clear" w:color="auto" w:fill="auto"/>
            <w:vAlign w:val="center"/>
            <w:hideMark/>
          </w:tcPr>
          <w:p w14:paraId="64E4B1CE" w14:textId="77777777" w:rsidR="000E3A94" w:rsidRPr="00E07F4D" w:rsidRDefault="000E3A94" w:rsidP="00AD715B">
            <w:pPr>
              <w:suppressAutoHyphens w:val="0"/>
              <w:spacing w:line="240" w:lineRule="auto"/>
              <w:rPr>
                <w:rFonts w:eastAsia="Times New Roman"/>
                <w:i/>
                <w:iCs/>
                <w:color w:val="000000"/>
                <w:lang w:val="en-KR" w:eastAsia="ko-KR"/>
              </w:rPr>
            </w:pPr>
            <w:r w:rsidRPr="00E07F4D">
              <w:rPr>
                <w:rFonts w:eastAsia="Times New Roman"/>
                <w:i/>
                <w:iCs/>
                <w:color w:val="000000"/>
                <w:lang w:val="en-GB" w:eastAsia="ko-KR"/>
              </w:rPr>
              <w:t>Industry</w:t>
            </w:r>
          </w:p>
        </w:tc>
        <w:tc>
          <w:tcPr>
            <w:tcW w:w="943" w:type="pct"/>
            <w:tcBorders>
              <w:top w:val="nil"/>
              <w:left w:val="nil"/>
              <w:bottom w:val="nil"/>
              <w:right w:val="nil"/>
            </w:tcBorders>
            <w:shd w:val="clear" w:color="auto" w:fill="auto"/>
            <w:vAlign w:val="center"/>
            <w:hideMark/>
          </w:tcPr>
          <w:p w14:paraId="34861F00"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c>
          <w:tcPr>
            <w:tcW w:w="943" w:type="pct"/>
            <w:tcBorders>
              <w:top w:val="nil"/>
              <w:left w:val="nil"/>
              <w:bottom w:val="nil"/>
              <w:right w:val="nil"/>
            </w:tcBorders>
            <w:shd w:val="clear" w:color="auto" w:fill="auto"/>
            <w:vAlign w:val="center"/>
            <w:hideMark/>
          </w:tcPr>
          <w:p w14:paraId="186023CF"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c>
          <w:tcPr>
            <w:tcW w:w="943" w:type="pct"/>
            <w:tcBorders>
              <w:top w:val="nil"/>
              <w:left w:val="nil"/>
              <w:bottom w:val="nil"/>
              <w:right w:val="nil"/>
            </w:tcBorders>
            <w:shd w:val="clear" w:color="auto" w:fill="auto"/>
            <w:vAlign w:val="center"/>
            <w:hideMark/>
          </w:tcPr>
          <w:p w14:paraId="3B4A89C0"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c>
          <w:tcPr>
            <w:tcW w:w="943" w:type="pct"/>
            <w:tcBorders>
              <w:top w:val="nil"/>
              <w:left w:val="nil"/>
              <w:bottom w:val="nil"/>
              <w:right w:val="nil"/>
            </w:tcBorders>
            <w:shd w:val="clear" w:color="auto" w:fill="auto"/>
            <w:vAlign w:val="center"/>
            <w:hideMark/>
          </w:tcPr>
          <w:p w14:paraId="35936484"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r>
      <w:tr w:rsidR="000E3A94" w:rsidRPr="00E07F4D" w14:paraId="6DF4D22A" w14:textId="77777777" w:rsidTr="00AD715B">
        <w:trPr>
          <w:trHeight w:val="340"/>
        </w:trPr>
        <w:tc>
          <w:tcPr>
            <w:tcW w:w="1226" w:type="pct"/>
            <w:tcBorders>
              <w:top w:val="nil"/>
              <w:left w:val="nil"/>
              <w:bottom w:val="nil"/>
              <w:right w:val="nil"/>
            </w:tcBorders>
            <w:shd w:val="clear" w:color="auto" w:fill="auto"/>
            <w:vAlign w:val="center"/>
            <w:hideMark/>
          </w:tcPr>
          <w:p w14:paraId="4934988B" w14:textId="77777777" w:rsidR="000E3A94" w:rsidRPr="00E07F4D" w:rsidRDefault="000E3A94" w:rsidP="00AD715B">
            <w:pPr>
              <w:suppressAutoHyphens w:val="0"/>
              <w:spacing w:line="240" w:lineRule="auto"/>
              <w:rPr>
                <w:rFonts w:eastAsia="Times New Roman"/>
                <w:i/>
                <w:iCs/>
                <w:color w:val="000000"/>
                <w:lang w:val="en-KR" w:eastAsia="ko-KR"/>
              </w:rPr>
            </w:pPr>
            <w:r w:rsidRPr="00E07F4D">
              <w:rPr>
                <w:rFonts w:eastAsia="Times New Roman"/>
                <w:i/>
                <w:iCs/>
                <w:color w:val="000000"/>
                <w:lang w:val="en-GB" w:eastAsia="ko-KR"/>
              </w:rPr>
              <w:t xml:space="preserve">Year </w:t>
            </w:r>
            <w:r w:rsidRPr="00E07F4D">
              <w:rPr>
                <w:rFonts w:ascii="Symbol" w:eastAsia="Times New Roman" w:hAnsi="Symbol"/>
                <w:i/>
                <w:iCs/>
                <w:color w:val="000000"/>
                <w:lang w:val="en-GB" w:eastAsia="ko-KR"/>
              </w:rPr>
              <w:t>´</w:t>
            </w:r>
            <w:r w:rsidRPr="00E07F4D">
              <w:rPr>
                <w:rFonts w:eastAsia="Times New Roman"/>
                <w:i/>
                <w:iCs/>
                <w:color w:val="000000"/>
                <w:lang w:val="en-GB" w:eastAsia="ko-KR"/>
              </w:rPr>
              <w:t xml:space="preserve"> Industry</w:t>
            </w:r>
          </w:p>
        </w:tc>
        <w:tc>
          <w:tcPr>
            <w:tcW w:w="943" w:type="pct"/>
            <w:tcBorders>
              <w:top w:val="nil"/>
              <w:left w:val="nil"/>
              <w:bottom w:val="nil"/>
              <w:right w:val="nil"/>
            </w:tcBorders>
            <w:shd w:val="clear" w:color="auto" w:fill="auto"/>
            <w:vAlign w:val="center"/>
            <w:hideMark/>
          </w:tcPr>
          <w:p w14:paraId="01CCDA5A"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c>
          <w:tcPr>
            <w:tcW w:w="943" w:type="pct"/>
            <w:tcBorders>
              <w:top w:val="nil"/>
              <w:left w:val="nil"/>
              <w:bottom w:val="nil"/>
              <w:right w:val="nil"/>
            </w:tcBorders>
            <w:shd w:val="clear" w:color="auto" w:fill="auto"/>
            <w:vAlign w:val="center"/>
            <w:hideMark/>
          </w:tcPr>
          <w:p w14:paraId="2AE1579C"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c>
          <w:tcPr>
            <w:tcW w:w="943" w:type="pct"/>
            <w:tcBorders>
              <w:top w:val="nil"/>
              <w:left w:val="nil"/>
              <w:bottom w:val="nil"/>
              <w:right w:val="nil"/>
            </w:tcBorders>
            <w:shd w:val="clear" w:color="auto" w:fill="auto"/>
            <w:vAlign w:val="center"/>
            <w:hideMark/>
          </w:tcPr>
          <w:p w14:paraId="21EAB5E5"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c>
          <w:tcPr>
            <w:tcW w:w="943" w:type="pct"/>
            <w:tcBorders>
              <w:top w:val="nil"/>
              <w:left w:val="nil"/>
              <w:bottom w:val="nil"/>
              <w:right w:val="nil"/>
            </w:tcBorders>
            <w:shd w:val="clear" w:color="auto" w:fill="auto"/>
            <w:vAlign w:val="center"/>
            <w:hideMark/>
          </w:tcPr>
          <w:p w14:paraId="4450E1D7"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r>
      <w:tr w:rsidR="000E3A94" w:rsidRPr="00E07F4D" w14:paraId="5FB6FBE3" w14:textId="77777777" w:rsidTr="00AD715B">
        <w:trPr>
          <w:trHeight w:val="340"/>
        </w:trPr>
        <w:tc>
          <w:tcPr>
            <w:tcW w:w="1226" w:type="pct"/>
            <w:tcBorders>
              <w:top w:val="nil"/>
              <w:left w:val="nil"/>
              <w:bottom w:val="nil"/>
              <w:right w:val="nil"/>
            </w:tcBorders>
            <w:shd w:val="clear" w:color="auto" w:fill="auto"/>
            <w:vAlign w:val="center"/>
            <w:hideMark/>
          </w:tcPr>
          <w:p w14:paraId="642F8606" w14:textId="77777777" w:rsidR="000E3A94" w:rsidRPr="00E07F4D" w:rsidRDefault="000E3A94" w:rsidP="00AD715B">
            <w:pPr>
              <w:suppressAutoHyphens w:val="0"/>
              <w:spacing w:line="240" w:lineRule="auto"/>
              <w:rPr>
                <w:rFonts w:eastAsia="Times New Roman"/>
                <w:color w:val="000000"/>
                <w:lang w:val="en-KR" w:eastAsia="ko-KR"/>
              </w:rPr>
            </w:pPr>
            <w:r w:rsidRPr="00E07F4D">
              <w:rPr>
                <w:rFonts w:eastAsia="Times New Roman"/>
                <w:color w:val="000000"/>
                <w:lang w:val="en-GB" w:eastAsia="ko-KR"/>
              </w:rPr>
              <w:t>Observations</w:t>
            </w:r>
          </w:p>
        </w:tc>
        <w:tc>
          <w:tcPr>
            <w:tcW w:w="943" w:type="pct"/>
            <w:tcBorders>
              <w:top w:val="nil"/>
              <w:left w:val="nil"/>
              <w:bottom w:val="nil"/>
              <w:right w:val="nil"/>
            </w:tcBorders>
            <w:shd w:val="clear" w:color="auto" w:fill="auto"/>
            <w:vAlign w:val="center"/>
            <w:hideMark/>
          </w:tcPr>
          <w:p w14:paraId="0E357C42"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20,069</w:t>
            </w:r>
          </w:p>
        </w:tc>
        <w:tc>
          <w:tcPr>
            <w:tcW w:w="943" w:type="pct"/>
            <w:tcBorders>
              <w:top w:val="nil"/>
              <w:left w:val="nil"/>
              <w:bottom w:val="nil"/>
              <w:right w:val="nil"/>
            </w:tcBorders>
            <w:shd w:val="clear" w:color="auto" w:fill="auto"/>
            <w:vAlign w:val="center"/>
            <w:hideMark/>
          </w:tcPr>
          <w:p w14:paraId="34ECAEEB"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5,094</w:t>
            </w:r>
          </w:p>
        </w:tc>
        <w:tc>
          <w:tcPr>
            <w:tcW w:w="943" w:type="pct"/>
            <w:tcBorders>
              <w:top w:val="nil"/>
              <w:left w:val="nil"/>
              <w:bottom w:val="nil"/>
              <w:right w:val="nil"/>
            </w:tcBorders>
            <w:shd w:val="clear" w:color="auto" w:fill="auto"/>
            <w:vAlign w:val="center"/>
            <w:hideMark/>
          </w:tcPr>
          <w:p w14:paraId="76FF3706"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10,681</w:t>
            </w:r>
          </w:p>
        </w:tc>
        <w:tc>
          <w:tcPr>
            <w:tcW w:w="943" w:type="pct"/>
            <w:tcBorders>
              <w:top w:val="nil"/>
              <w:left w:val="nil"/>
              <w:bottom w:val="nil"/>
              <w:right w:val="nil"/>
            </w:tcBorders>
            <w:shd w:val="clear" w:color="auto" w:fill="auto"/>
            <w:vAlign w:val="center"/>
            <w:hideMark/>
          </w:tcPr>
          <w:p w14:paraId="37EED039"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3,899</w:t>
            </w:r>
          </w:p>
        </w:tc>
      </w:tr>
      <w:tr w:rsidR="000E3A94" w:rsidRPr="00E07F4D" w14:paraId="6610390D" w14:textId="77777777" w:rsidTr="00AD715B">
        <w:trPr>
          <w:trHeight w:val="340"/>
        </w:trPr>
        <w:tc>
          <w:tcPr>
            <w:tcW w:w="1226" w:type="pct"/>
            <w:tcBorders>
              <w:top w:val="nil"/>
              <w:left w:val="nil"/>
              <w:bottom w:val="nil"/>
              <w:right w:val="nil"/>
            </w:tcBorders>
            <w:shd w:val="clear" w:color="auto" w:fill="auto"/>
            <w:vAlign w:val="center"/>
            <w:hideMark/>
          </w:tcPr>
          <w:p w14:paraId="09EA23DC" w14:textId="77777777" w:rsidR="000E3A94" w:rsidRPr="00E07F4D" w:rsidRDefault="000E3A94" w:rsidP="00AD715B">
            <w:pPr>
              <w:suppressAutoHyphens w:val="0"/>
              <w:spacing w:line="240" w:lineRule="auto"/>
              <w:rPr>
                <w:rFonts w:eastAsia="Times New Roman"/>
                <w:color w:val="000000"/>
                <w:lang w:val="en-KR" w:eastAsia="ko-KR"/>
              </w:rPr>
            </w:pPr>
            <w:r w:rsidRPr="00E07F4D">
              <w:rPr>
                <w:rFonts w:eastAsia="Times New Roman"/>
                <w:color w:val="000000"/>
                <w:lang w:val="en-GB" w:eastAsia="ko-KR"/>
              </w:rPr>
              <w:t>R-squared</w:t>
            </w:r>
          </w:p>
        </w:tc>
        <w:tc>
          <w:tcPr>
            <w:tcW w:w="943" w:type="pct"/>
            <w:tcBorders>
              <w:top w:val="nil"/>
              <w:left w:val="nil"/>
              <w:bottom w:val="nil"/>
              <w:right w:val="nil"/>
            </w:tcBorders>
            <w:shd w:val="clear" w:color="auto" w:fill="auto"/>
            <w:vAlign w:val="center"/>
            <w:hideMark/>
          </w:tcPr>
          <w:p w14:paraId="766E7414"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0.327</w:t>
            </w:r>
          </w:p>
        </w:tc>
        <w:tc>
          <w:tcPr>
            <w:tcW w:w="943" w:type="pct"/>
            <w:tcBorders>
              <w:top w:val="nil"/>
              <w:left w:val="nil"/>
              <w:bottom w:val="nil"/>
              <w:right w:val="nil"/>
            </w:tcBorders>
            <w:shd w:val="clear" w:color="auto" w:fill="auto"/>
            <w:vAlign w:val="center"/>
            <w:hideMark/>
          </w:tcPr>
          <w:p w14:paraId="06681636"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0.55</w:t>
            </w:r>
          </w:p>
        </w:tc>
        <w:tc>
          <w:tcPr>
            <w:tcW w:w="943" w:type="pct"/>
            <w:tcBorders>
              <w:top w:val="nil"/>
              <w:left w:val="nil"/>
              <w:bottom w:val="nil"/>
              <w:right w:val="nil"/>
            </w:tcBorders>
            <w:shd w:val="clear" w:color="auto" w:fill="auto"/>
            <w:vAlign w:val="center"/>
            <w:hideMark/>
          </w:tcPr>
          <w:p w14:paraId="6228BB28"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0.188</w:t>
            </w:r>
          </w:p>
        </w:tc>
        <w:tc>
          <w:tcPr>
            <w:tcW w:w="943" w:type="pct"/>
            <w:tcBorders>
              <w:top w:val="nil"/>
              <w:left w:val="nil"/>
              <w:bottom w:val="nil"/>
              <w:right w:val="nil"/>
            </w:tcBorders>
            <w:shd w:val="clear" w:color="auto" w:fill="auto"/>
            <w:vAlign w:val="center"/>
            <w:hideMark/>
          </w:tcPr>
          <w:p w14:paraId="4FA0C772"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0.162</w:t>
            </w:r>
          </w:p>
        </w:tc>
      </w:tr>
      <w:tr w:rsidR="000E3A94" w:rsidRPr="00E07F4D" w14:paraId="31368620" w14:textId="77777777" w:rsidTr="00AD715B">
        <w:trPr>
          <w:trHeight w:val="340"/>
        </w:trPr>
        <w:tc>
          <w:tcPr>
            <w:tcW w:w="1226" w:type="pct"/>
            <w:tcBorders>
              <w:top w:val="nil"/>
              <w:left w:val="nil"/>
              <w:bottom w:val="single" w:sz="4" w:space="0" w:color="auto"/>
              <w:right w:val="nil"/>
            </w:tcBorders>
            <w:shd w:val="clear" w:color="auto" w:fill="auto"/>
            <w:vAlign w:val="center"/>
            <w:hideMark/>
          </w:tcPr>
          <w:p w14:paraId="1769A35B" w14:textId="77777777" w:rsidR="000E3A94" w:rsidRPr="00E07F4D" w:rsidRDefault="000E3A94" w:rsidP="00AD715B">
            <w:pPr>
              <w:suppressAutoHyphens w:val="0"/>
              <w:spacing w:line="240" w:lineRule="auto"/>
              <w:rPr>
                <w:rFonts w:eastAsia="Times New Roman"/>
                <w:color w:val="000000"/>
                <w:lang w:val="en-KR" w:eastAsia="ko-KR"/>
              </w:rPr>
            </w:pPr>
            <w:r w:rsidRPr="00E07F4D">
              <w:rPr>
                <w:rFonts w:eastAsia="Times New Roman"/>
                <w:color w:val="000000"/>
                <w:lang w:val="en-GB" w:eastAsia="ko-KR"/>
              </w:rPr>
              <w:t>Adjusted R-squared</w:t>
            </w:r>
          </w:p>
        </w:tc>
        <w:tc>
          <w:tcPr>
            <w:tcW w:w="943" w:type="pct"/>
            <w:tcBorders>
              <w:top w:val="nil"/>
              <w:left w:val="nil"/>
              <w:bottom w:val="single" w:sz="4" w:space="0" w:color="auto"/>
              <w:right w:val="nil"/>
            </w:tcBorders>
            <w:shd w:val="clear" w:color="auto" w:fill="auto"/>
            <w:vAlign w:val="center"/>
            <w:hideMark/>
          </w:tcPr>
          <w:p w14:paraId="4AACA8A8"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0.297</w:t>
            </w:r>
          </w:p>
        </w:tc>
        <w:tc>
          <w:tcPr>
            <w:tcW w:w="943" w:type="pct"/>
            <w:tcBorders>
              <w:top w:val="nil"/>
              <w:left w:val="nil"/>
              <w:bottom w:val="single" w:sz="4" w:space="0" w:color="auto"/>
              <w:right w:val="nil"/>
            </w:tcBorders>
            <w:shd w:val="clear" w:color="auto" w:fill="auto"/>
            <w:vAlign w:val="center"/>
            <w:hideMark/>
          </w:tcPr>
          <w:p w14:paraId="5CCF23A0"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0.498</w:t>
            </w:r>
          </w:p>
        </w:tc>
        <w:tc>
          <w:tcPr>
            <w:tcW w:w="943" w:type="pct"/>
            <w:tcBorders>
              <w:top w:val="nil"/>
              <w:left w:val="nil"/>
              <w:bottom w:val="single" w:sz="4" w:space="0" w:color="auto"/>
              <w:right w:val="nil"/>
            </w:tcBorders>
            <w:shd w:val="clear" w:color="auto" w:fill="auto"/>
            <w:vAlign w:val="center"/>
            <w:hideMark/>
          </w:tcPr>
          <w:p w14:paraId="11968EDD"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0.137</w:t>
            </w:r>
          </w:p>
        </w:tc>
        <w:tc>
          <w:tcPr>
            <w:tcW w:w="943" w:type="pct"/>
            <w:tcBorders>
              <w:top w:val="nil"/>
              <w:left w:val="nil"/>
              <w:bottom w:val="single" w:sz="4" w:space="0" w:color="auto"/>
              <w:right w:val="nil"/>
            </w:tcBorders>
            <w:shd w:val="clear" w:color="auto" w:fill="auto"/>
            <w:vAlign w:val="center"/>
            <w:hideMark/>
          </w:tcPr>
          <w:p w14:paraId="57F370AD" w14:textId="77777777" w:rsidR="000E3A94" w:rsidRPr="00E07F4D" w:rsidRDefault="000E3A94" w:rsidP="00AD715B">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0.1</w:t>
            </w:r>
          </w:p>
        </w:tc>
      </w:tr>
    </w:tbl>
    <w:p w14:paraId="13C434F9" w14:textId="77777777" w:rsidR="000E3A94" w:rsidRPr="00172AD7" w:rsidRDefault="000E3A94" w:rsidP="000E3A94">
      <w:pPr>
        <w:rPr>
          <w:i/>
          <w:iCs/>
          <w:color w:val="000000" w:themeColor="text1"/>
        </w:rPr>
      </w:pPr>
      <w:r w:rsidRPr="00172AD7">
        <w:rPr>
          <w:i/>
          <w:iCs/>
          <w:color w:val="000000" w:themeColor="text1"/>
        </w:rPr>
        <w:t xml:space="preserve">Note. </w:t>
      </w:r>
      <w:r w:rsidRPr="00172AD7">
        <w:rPr>
          <w:color w:val="000000" w:themeColor="text1"/>
        </w:rPr>
        <w:t>Standard errors in parentheses</w:t>
      </w:r>
      <w:r>
        <w:rPr>
          <w:color w:val="000000" w:themeColor="text1"/>
        </w:rPr>
        <w:t xml:space="preserve">. </w:t>
      </w:r>
      <w:r>
        <w:rPr>
          <w:color w:val="000000" w:themeColor="text1"/>
        </w:rPr>
        <w:br/>
      </w:r>
      <w:r w:rsidRPr="00172AD7">
        <w:rPr>
          <w:color w:val="000000" w:themeColor="text1"/>
        </w:rPr>
        <w:t>*** p&lt;0.01, ** p&lt;0.05, * p&lt;0.1</w:t>
      </w:r>
    </w:p>
    <w:p w14:paraId="6930E289" w14:textId="77777777" w:rsidR="000E3A94" w:rsidRDefault="000E3A94" w:rsidP="000E3A94">
      <w:pPr>
        <w:rPr>
          <w:b/>
          <w:bCs/>
          <w:color w:val="000000" w:themeColor="text1"/>
        </w:rPr>
      </w:pPr>
    </w:p>
    <w:p w14:paraId="136F96D0" w14:textId="77777777" w:rsidR="000E3A94" w:rsidRDefault="000E3A94" w:rsidP="000E3A94">
      <w:pPr>
        <w:rPr>
          <w:b/>
          <w:bCs/>
          <w:color w:val="000000" w:themeColor="text1"/>
        </w:rPr>
        <w:sectPr w:rsidR="000E3A94" w:rsidSect="000E3A94">
          <w:pgSz w:w="12240" w:h="15840" w:code="1"/>
          <w:pgMar w:top="1440" w:right="1440" w:bottom="1440" w:left="1440" w:header="720" w:footer="720" w:gutter="0"/>
          <w:pgNumType w:start="1"/>
          <w:cols w:space="720"/>
          <w:docGrid w:linePitch="360"/>
        </w:sectPr>
      </w:pPr>
    </w:p>
    <w:p w14:paraId="3AF95266" w14:textId="77777777" w:rsidR="000E3A94" w:rsidRPr="00172AD7" w:rsidRDefault="000E3A94" w:rsidP="000E3A94">
      <w:pPr>
        <w:rPr>
          <w:b/>
          <w:bCs/>
          <w:color w:val="000000" w:themeColor="text1"/>
        </w:rPr>
      </w:pPr>
      <w:r w:rsidRPr="00172AD7">
        <w:rPr>
          <w:b/>
          <w:bCs/>
          <w:color w:val="000000" w:themeColor="text1"/>
        </w:rPr>
        <w:lastRenderedPageBreak/>
        <w:t xml:space="preserve">Table </w:t>
      </w:r>
      <w:r>
        <w:rPr>
          <w:b/>
          <w:bCs/>
          <w:color w:val="000000" w:themeColor="text1"/>
        </w:rPr>
        <w:t>9</w:t>
      </w:r>
    </w:p>
    <w:p w14:paraId="09DAECAC" w14:textId="77777777" w:rsidR="000E3A94" w:rsidRPr="00172AD7" w:rsidRDefault="000E3A94" w:rsidP="000E3A94">
      <w:pPr>
        <w:rPr>
          <w:i/>
          <w:iCs/>
          <w:color w:val="000000" w:themeColor="text1"/>
        </w:rPr>
      </w:pPr>
      <w:r>
        <w:rPr>
          <w:i/>
          <w:iCs/>
          <w:color w:val="000000" w:themeColor="text1"/>
        </w:rPr>
        <w:t>Type and Digitalization</w:t>
      </w:r>
    </w:p>
    <w:tbl>
      <w:tblPr>
        <w:tblW w:w="9340" w:type="dxa"/>
        <w:tblInd w:w="108" w:type="dxa"/>
        <w:tblLook w:val="04A0" w:firstRow="1" w:lastRow="0" w:firstColumn="1" w:lastColumn="0" w:noHBand="0" w:noVBand="1"/>
      </w:tblPr>
      <w:tblGrid>
        <w:gridCol w:w="2920"/>
        <w:gridCol w:w="2140"/>
        <w:gridCol w:w="2140"/>
        <w:gridCol w:w="2140"/>
      </w:tblGrid>
      <w:tr w:rsidR="000E3A94" w:rsidRPr="00897EE1" w14:paraId="1274A84B" w14:textId="77777777" w:rsidTr="00AD715B">
        <w:trPr>
          <w:trHeight w:val="600"/>
        </w:trPr>
        <w:tc>
          <w:tcPr>
            <w:tcW w:w="2920" w:type="dxa"/>
            <w:tcBorders>
              <w:top w:val="single" w:sz="4" w:space="0" w:color="auto"/>
              <w:left w:val="nil"/>
              <w:bottom w:val="single" w:sz="4" w:space="0" w:color="auto"/>
              <w:right w:val="nil"/>
              <w:tl2br w:val="single" w:sz="4" w:space="0" w:color="auto"/>
            </w:tcBorders>
            <w:shd w:val="clear" w:color="auto" w:fill="auto"/>
            <w:vAlign w:val="center"/>
            <w:hideMark/>
          </w:tcPr>
          <w:p w14:paraId="2EB63F41" w14:textId="77777777" w:rsidR="000E3A94" w:rsidRPr="00897EE1" w:rsidRDefault="000E3A94" w:rsidP="00AD715B">
            <w:pPr>
              <w:suppressAutoHyphens w:val="0"/>
              <w:spacing w:line="240" w:lineRule="auto"/>
              <w:rPr>
                <w:rFonts w:eastAsia="Times New Roman"/>
                <w:i/>
                <w:iCs/>
                <w:color w:val="000000"/>
                <w:sz w:val="21"/>
                <w:szCs w:val="21"/>
                <w:lang w:val="en-KR" w:eastAsia="ko-KR"/>
              </w:rPr>
            </w:pPr>
            <w:r w:rsidRPr="00897EE1">
              <w:rPr>
                <w:rFonts w:eastAsia="Times New Roman"/>
                <w:i/>
                <w:iCs/>
                <w:color w:val="000000"/>
                <w:sz w:val="21"/>
                <w:szCs w:val="21"/>
                <w:lang w:eastAsia="ko-KR"/>
              </w:rPr>
              <w:t xml:space="preserve">                                      Type </w:t>
            </w:r>
            <w:r w:rsidRPr="00897EE1">
              <w:rPr>
                <w:rFonts w:eastAsia="Times New Roman"/>
                <w:i/>
                <w:iCs/>
                <w:color w:val="000000"/>
                <w:sz w:val="21"/>
                <w:szCs w:val="21"/>
                <w:lang w:eastAsia="ko-KR"/>
              </w:rPr>
              <w:br/>
              <w:t>Digitalization</w:t>
            </w:r>
          </w:p>
        </w:tc>
        <w:tc>
          <w:tcPr>
            <w:tcW w:w="2140" w:type="dxa"/>
            <w:tcBorders>
              <w:top w:val="single" w:sz="4" w:space="0" w:color="auto"/>
              <w:left w:val="nil"/>
              <w:bottom w:val="single" w:sz="4" w:space="0" w:color="auto"/>
              <w:right w:val="nil"/>
            </w:tcBorders>
            <w:shd w:val="clear" w:color="auto" w:fill="auto"/>
            <w:vAlign w:val="center"/>
            <w:hideMark/>
          </w:tcPr>
          <w:p w14:paraId="20A56001" w14:textId="77777777" w:rsidR="000E3A94" w:rsidRPr="00897EE1" w:rsidRDefault="000E3A94" w:rsidP="00AD715B">
            <w:pPr>
              <w:suppressAutoHyphens w:val="0"/>
              <w:spacing w:line="240" w:lineRule="auto"/>
              <w:jc w:val="center"/>
              <w:rPr>
                <w:rFonts w:eastAsia="Times New Roman"/>
                <w:b/>
                <w:bCs/>
                <w:color w:val="000000"/>
                <w:sz w:val="22"/>
                <w:szCs w:val="22"/>
                <w:lang w:val="en-KR" w:eastAsia="ko-KR"/>
              </w:rPr>
            </w:pPr>
            <w:r w:rsidRPr="00897EE1">
              <w:rPr>
                <w:rFonts w:eastAsia="Times New Roman"/>
                <w:b/>
                <w:bCs/>
                <w:color w:val="000000"/>
                <w:sz w:val="22"/>
                <w:szCs w:val="22"/>
                <w:lang w:eastAsia="ko-KR"/>
              </w:rPr>
              <w:t>I</w:t>
            </w:r>
          </w:p>
        </w:tc>
        <w:tc>
          <w:tcPr>
            <w:tcW w:w="2140" w:type="dxa"/>
            <w:tcBorders>
              <w:top w:val="single" w:sz="4" w:space="0" w:color="auto"/>
              <w:left w:val="nil"/>
              <w:bottom w:val="single" w:sz="4" w:space="0" w:color="auto"/>
              <w:right w:val="nil"/>
            </w:tcBorders>
            <w:shd w:val="clear" w:color="auto" w:fill="auto"/>
            <w:vAlign w:val="center"/>
            <w:hideMark/>
          </w:tcPr>
          <w:p w14:paraId="0360D378" w14:textId="77777777" w:rsidR="000E3A94" w:rsidRPr="00897EE1" w:rsidRDefault="000E3A94" w:rsidP="00AD715B">
            <w:pPr>
              <w:suppressAutoHyphens w:val="0"/>
              <w:spacing w:line="240" w:lineRule="auto"/>
              <w:jc w:val="center"/>
              <w:rPr>
                <w:rFonts w:eastAsia="Times New Roman"/>
                <w:b/>
                <w:bCs/>
                <w:color w:val="000000"/>
                <w:sz w:val="22"/>
                <w:szCs w:val="22"/>
                <w:lang w:val="en-KR" w:eastAsia="ko-KR"/>
              </w:rPr>
            </w:pPr>
            <w:r w:rsidRPr="00897EE1">
              <w:rPr>
                <w:rFonts w:eastAsia="Times New Roman"/>
                <w:b/>
                <w:bCs/>
                <w:color w:val="000000"/>
                <w:sz w:val="22"/>
                <w:szCs w:val="22"/>
                <w:lang w:eastAsia="ko-KR"/>
              </w:rPr>
              <w:t>II</w:t>
            </w:r>
          </w:p>
        </w:tc>
        <w:tc>
          <w:tcPr>
            <w:tcW w:w="2140" w:type="dxa"/>
            <w:tcBorders>
              <w:top w:val="single" w:sz="4" w:space="0" w:color="auto"/>
              <w:left w:val="nil"/>
              <w:bottom w:val="single" w:sz="4" w:space="0" w:color="auto"/>
              <w:right w:val="nil"/>
            </w:tcBorders>
            <w:shd w:val="clear" w:color="auto" w:fill="auto"/>
            <w:vAlign w:val="center"/>
            <w:hideMark/>
          </w:tcPr>
          <w:p w14:paraId="349D528D" w14:textId="77777777" w:rsidR="000E3A94" w:rsidRPr="00897EE1" w:rsidRDefault="000E3A94" w:rsidP="00AD715B">
            <w:pPr>
              <w:suppressAutoHyphens w:val="0"/>
              <w:spacing w:line="240" w:lineRule="auto"/>
              <w:jc w:val="center"/>
              <w:rPr>
                <w:rFonts w:eastAsia="Times New Roman"/>
                <w:b/>
                <w:bCs/>
                <w:color w:val="000000"/>
                <w:sz w:val="22"/>
                <w:szCs w:val="22"/>
                <w:lang w:val="en-KR" w:eastAsia="ko-KR"/>
              </w:rPr>
            </w:pPr>
            <w:r w:rsidRPr="00897EE1">
              <w:rPr>
                <w:rFonts w:eastAsia="Times New Roman"/>
                <w:b/>
                <w:bCs/>
                <w:color w:val="000000"/>
                <w:sz w:val="22"/>
                <w:szCs w:val="22"/>
                <w:lang w:eastAsia="ko-KR"/>
              </w:rPr>
              <w:t>III</w:t>
            </w:r>
          </w:p>
        </w:tc>
      </w:tr>
      <w:tr w:rsidR="000E3A94" w:rsidRPr="00897EE1" w14:paraId="1BA9C8BF" w14:textId="77777777" w:rsidTr="00AD715B">
        <w:trPr>
          <w:trHeight w:val="380"/>
        </w:trPr>
        <w:tc>
          <w:tcPr>
            <w:tcW w:w="2920" w:type="dxa"/>
            <w:tcBorders>
              <w:top w:val="nil"/>
              <w:left w:val="nil"/>
              <w:bottom w:val="nil"/>
              <w:right w:val="nil"/>
            </w:tcBorders>
            <w:shd w:val="clear" w:color="auto" w:fill="auto"/>
            <w:vAlign w:val="center"/>
            <w:hideMark/>
          </w:tcPr>
          <w:p w14:paraId="2068FA26" w14:textId="77777777" w:rsidR="000E3A94" w:rsidRPr="00897EE1" w:rsidRDefault="000E3A94" w:rsidP="00AD715B">
            <w:pPr>
              <w:suppressAutoHyphens w:val="0"/>
              <w:spacing w:line="240" w:lineRule="auto"/>
              <w:jc w:val="center"/>
              <w:rPr>
                <w:rFonts w:eastAsia="Times New Roman"/>
                <w:i/>
                <w:iCs/>
                <w:color w:val="000000"/>
                <w:sz w:val="21"/>
                <w:szCs w:val="21"/>
                <w:lang w:val="en-KR" w:eastAsia="ko-KR"/>
              </w:rPr>
            </w:pPr>
            <w:r w:rsidRPr="00897EE1">
              <w:rPr>
                <w:rFonts w:eastAsia="Times New Roman"/>
                <w:i/>
                <w:iCs/>
                <w:color w:val="000000"/>
                <w:sz w:val="21"/>
                <w:szCs w:val="21"/>
                <w:lang w:eastAsia="ko-KR"/>
              </w:rPr>
              <w:t>Artificial Intelligence</w:t>
            </w:r>
          </w:p>
        </w:tc>
        <w:tc>
          <w:tcPr>
            <w:tcW w:w="2140" w:type="dxa"/>
            <w:tcBorders>
              <w:top w:val="nil"/>
              <w:left w:val="nil"/>
              <w:bottom w:val="nil"/>
              <w:right w:val="nil"/>
            </w:tcBorders>
            <w:shd w:val="clear" w:color="auto" w:fill="auto"/>
            <w:vAlign w:val="center"/>
            <w:hideMark/>
          </w:tcPr>
          <w:p w14:paraId="7651406B" w14:textId="77777777" w:rsidR="000E3A94" w:rsidRPr="00897EE1" w:rsidRDefault="000E3A94" w:rsidP="00AD715B">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c>
          <w:tcPr>
            <w:tcW w:w="2140" w:type="dxa"/>
            <w:tcBorders>
              <w:top w:val="nil"/>
              <w:left w:val="nil"/>
              <w:bottom w:val="nil"/>
              <w:right w:val="nil"/>
            </w:tcBorders>
            <w:shd w:val="clear" w:color="auto" w:fill="auto"/>
            <w:vAlign w:val="center"/>
            <w:hideMark/>
          </w:tcPr>
          <w:p w14:paraId="2621470D" w14:textId="77777777" w:rsidR="000E3A94" w:rsidRPr="00897EE1" w:rsidRDefault="000E3A94" w:rsidP="00AD715B">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c>
          <w:tcPr>
            <w:tcW w:w="2140" w:type="dxa"/>
            <w:tcBorders>
              <w:top w:val="nil"/>
              <w:left w:val="nil"/>
              <w:bottom w:val="nil"/>
              <w:right w:val="nil"/>
            </w:tcBorders>
            <w:shd w:val="clear" w:color="auto" w:fill="auto"/>
            <w:vAlign w:val="center"/>
            <w:hideMark/>
          </w:tcPr>
          <w:p w14:paraId="65AF9310" w14:textId="77777777" w:rsidR="000E3A94" w:rsidRPr="00897EE1" w:rsidRDefault="000E3A94" w:rsidP="00AD715B">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r>
      <w:tr w:rsidR="000E3A94" w:rsidRPr="00897EE1" w14:paraId="6A10CC0A" w14:textId="77777777" w:rsidTr="00AD715B">
        <w:trPr>
          <w:trHeight w:val="380"/>
        </w:trPr>
        <w:tc>
          <w:tcPr>
            <w:tcW w:w="2920" w:type="dxa"/>
            <w:tcBorders>
              <w:top w:val="nil"/>
              <w:left w:val="nil"/>
              <w:bottom w:val="nil"/>
              <w:right w:val="nil"/>
            </w:tcBorders>
            <w:shd w:val="clear" w:color="auto" w:fill="auto"/>
            <w:vAlign w:val="center"/>
            <w:hideMark/>
          </w:tcPr>
          <w:p w14:paraId="5B870B7F" w14:textId="77777777" w:rsidR="000E3A94" w:rsidRPr="00897EE1" w:rsidRDefault="000E3A94" w:rsidP="00AD715B">
            <w:pPr>
              <w:suppressAutoHyphens w:val="0"/>
              <w:spacing w:line="240" w:lineRule="auto"/>
              <w:jc w:val="center"/>
              <w:rPr>
                <w:rFonts w:eastAsia="Times New Roman"/>
                <w:i/>
                <w:iCs/>
                <w:color w:val="000000"/>
                <w:sz w:val="21"/>
                <w:szCs w:val="21"/>
                <w:lang w:val="en-KR" w:eastAsia="ko-KR"/>
              </w:rPr>
            </w:pPr>
            <w:r w:rsidRPr="00897EE1">
              <w:rPr>
                <w:rFonts w:eastAsia="Times New Roman"/>
                <w:i/>
                <w:iCs/>
                <w:color w:val="000000"/>
                <w:sz w:val="21"/>
                <w:szCs w:val="21"/>
                <w:lang w:eastAsia="ko-KR"/>
              </w:rPr>
              <w:t>Big Data</w:t>
            </w:r>
          </w:p>
        </w:tc>
        <w:tc>
          <w:tcPr>
            <w:tcW w:w="2140" w:type="dxa"/>
            <w:tcBorders>
              <w:top w:val="nil"/>
              <w:left w:val="nil"/>
              <w:bottom w:val="nil"/>
              <w:right w:val="nil"/>
            </w:tcBorders>
            <w:shd w:val="clear" w:color="auto" w:fill="auto"/>
            <w:vAlign w:val="center"/>
            <w:hideMark/>
          </w:tcPr>
          <w:p w14:paraId="66D0E53F" w14:textId="77777777" w:rsidR="000E3A94" w:rsidRPr="00897EE1" w:rsidRDefault="000E3A94" w:rsidP="00AD715B">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c>
          <w:tcPr>
            <w:tcW w:w="2140" w:type="dxa"/>
            <w:tcBorders>
              <w:top w:val="nil"/>
              <w:left w:val="nil"/>
              <w:bottom w:val="nil"/>
              <w:right w:val="nil"/>
            </w:tcBorders>
            <w:shd w:val="clear" w:color="auto" w:fill="auto"/>
            <w:vAlign w:val="center"/>
            <w:hideMark/>
          </w:tcPr>
          <w:p w14:paraId="76F7811E" w14:textId="77777777" w:rsidR="000E3A94" w:rsidRPr="00897EE1" w:rsidRDefault="000E3A94" w:rsidP="00AD715B">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c>
          <w:tcPr>
            <w:tcW w:w="2140" w:type="dxa"/>
            <w:tcBorders>
              <w:top w:val="nil"/>
              <w:left w:val="nil"/>
              <w:bottom w:val="nil"/>
              <w:right w:val="nil"/>
            </w:tcBorders>
            <w:shd w:val="clear" w:color="auto" w:fill="auto"/>
            <w:vAlign w:val="center"/>
            <w:hideMark/>
          </w:tcPr>
          <w:p w14:paraId="102156EF" w14:textId="77777777" w:rsidR="000E3A94" w:rsidRPr="00897EE1" w:rsidRDefault="000E3A94" w:rsidP="00AD715B">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r>
      <w:tr w:rsidR="000E3A94" w:rsidRPr="00897EE1" w14:paraId="3ED45C34" w14:textId="77777777" w:rsidTr="00AD715B">
        <w:trPr>
          <w:trHeight w:val="380"/>
        </w:trPr>
        <w:tc>
          <w:tcPr>
            <w:tcW w:w="2920" w:type="dxa"/>
            <w:tcBorders>
              <w:top w:val="nil"/>
              <w:left w:val="nil"/>
              <w:bottom w:val="nil"/>
              <w:right w:val="nil"/>
            </w:tcBorders>
            <w:shd w:val="clear" w:color="auto" w:fill="auto"/>
            <w:vAlign w:val="center"/>
            <w:hideMark/>
          </w:tcPr>
          <w:p w14:paraId="217084D6" w14:textId="77777777" w:rsidR="000E3A94" w:rsidRPr="00897EE1" w:rsidRDefault="000E3A94" w:rsidP="00AD715B">
            <w:pPr>
              <w:suppressAutoHyphens w:val="0"/>
              <w:spacing w:line="240" w:lineRule="auto"/>
              <w:jc w:val="center"/>
              <w:rPr>
                <w:rFonts w:eastAsia="Times New Roman"/>
                <w:i/>
                <w:iCs/>
                <w:color w:val="000000"/>
                <w:sz w:val="21"/>
                <w:szCs w:val="21"/>
                <w:lang w:val="en-KR" w:eastAsia="ko-KR"/>
              </w:rPr>
            </w:pPr>
            <w:r w:rsidRPr="00897EE1">
              <w:rPr>
                <w:rFonts w:eastAsia="Times New Roman"/>
                <w:i/>
                <w:iCs/>
                <w:color w:val="000000"/>
                <w:sz w:val="21"/>
                <w:szCs w:val="21"/>
                <w:lang w:eastAsia="ko-KR"/>
              </w:rPr>
              <w:t>Blockchain</w:t>
            </w:r>
          </w:p>
        </w:tc>
        <w:tc>
          <w:tcPr>
            <w:tcW w:w="2140" w:type="dxa"/>
            <w:tcBorders>
              <w:top w:val="nil"/>
              <w:left w:val="nil"/>
              <w:bottom w:val="nil"/>
              <w:right w:val="nil"/>
            </w:tcBorders>
            <w:shd w:val="clear" w:color="auto" w:fill="auto"/>
            <w:vAlign w:val="center"/>
            <w:hideMark/>
          </w:tcPr>
          <w:p w14:paraId="74A4BA1D" w14:textId="77777777" w:rsidR="000E3A94" w:rsidRPr="00897EE1" w:rsidRDefault="000E3A94" w:rsidP="00AD715B">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c>
          <w:tcPr>
            <w:tcW w:w="2140" w:type="dxa"/>
            <w:tcBorders>
              <w:top w:val="nil"/>
              <w:left w:val="nil"/>
              <w:bottom w:val="nil"/>
              <w:right w:val="nil"/>
            </w:tcBorders>
            <w:shd w:val="clear" w:color="auto" w:fill="auto"/>
            <w:vAlign w:val="center"/>
            <w:hideMark/>
          </w:tcPr>
          <w:p w14:paraId="6E84E976" w14:textId="77777777" w:rsidR="000E3A94" w:rsidRPr="00897EE1" w:rsidRDefault="000E3A94" w:rsidP="00AD715B">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c>
          <w:tcPr>
            <w:tcW w:w="2140" w:type="dxa"/>
            <w:tcBorders>
              <w:top w:val="nil"/>
              <w:left w:val="nil"/>
              <w:bottom w:val="nil"/>
              <w:right w:val="nil"/>
            </w:tcBorders>
            <w:shd w:val="clear" w:color="auto" w:fill="auto"/>
            <w:vAlign w:val="center"/>
            <w:hideMark/>
          </w:tcPr>
          <w:p w14:paraId="7BFD4887" w14:textId="77777777" w:rsidR="000E3A94" w:rsidRPr="00897EE1" w:rsidRDefault="000E3A94" w:rsidP="00AD715B">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r>
      <w:tr w:rsidR="000E3A94" w:rsidRPr="00897EE1" w14:paraId="65C4607E" w14:textId="77777777" w:rsidTr="00AD715B">
        <w:trPr>
          <w:trHeight w:val="600"/>
        </w:trPr>
        <w:tc>
          <w:tcPr>
            <w:tcW w:w="2920" w:type="dxa"/>
            <w:tcBorders>
              <w:top w:val="nil"/>
              <w:left w:val="nil"/>
              <w:bottom w:val="single" w:sz="4" w:space="0" w:color="auto"/>
              <w:right w:val="nil"/>
            </w:tcBorders>
            <w:shd w:val="clear" w:color="auto" w:fill="auto"/>
            <w:vAlign w:val="center"/>
            <w:hideMark/>
          </w:tcPr>
          <w:p w14:paraId="73E205CA" w14:textId="77777777" w:rsidR="000E3A94" w:rsidRPr="00897EE1" w:rsidRDefault="000E3A94" w:rsidP="00AD715B">
            <w:pPr>
              <w:suppressAutoHyphens w:val="0"/>
              <w:spacing w:line="240" w:lineRule="auto"/>
              <w:jc w:val="center"/>
              <w:rPr>
                <w:rFonts w:eastAsia="Times New Roman"/>
                <w:i/>
                <w:iCs/>
                <w:color w:val="000000"/>
                <w:sz w:val="21"/>
                <w:szCs w:val="21"/>
                <w:lang w:val="en-KR" w:eastAsia="ko-KR"/>
              </w:rPr>
            </w:pPr>
            <w:r w:rsidRPr="00897EE1">
              <w:rPr>
                <w:rFonts w:eastAsia="Times New Roman"/>
                <w:i/>
                <w:iCs/>
                <w:color w:val="000000"/>
                <w:sz w:val="21"/>
                <w:szCs w:val="21"/>
                <w:lang w:eastAsia="ko-KR"/>
              </w:rPr>
              <w:t>Cloud Technology</w:t>
            </w:r>
          </w:p>
        </w:tc>
        <w:tc>
          <w:tcPr>
            <w:tcW w:w="2140" w:type="dxa"/>
            <w:tcBorders>
              <w:top w:val="nil"/>
              <w:left w:val="nil"/>
              <w:bottom w:val="single" w:sz="4" w:space="0" w:color="auto"/>
              <w:right w:val="nil"/>
            </w:tcBorders>
            <w:shd w:val="clear" w:color="auto" w:fill="auto"/>
            <w:vAlign w:val="center"/>
            <w:hideMark/>
          </w:tcPr>
          <w:p w14:paraId="4104FA7D" w14:textId="77777777" w:rsidR="000E3A94" w:rsidRPr="00897EE1" w:rsidRDefault="000E3A94" w:rsidP="00AD715B">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c>
          <w:tcPr>
            <w:tcW w:w="2140" w:type="dxa"/>
            <w:tcBorders>
              <w:top w:val="nil"/>
              <w:left w:val="nil"/>
              <w:bottom w:val="single" w:sz="4" w:space="0" w:color="auto"/>
              <w:right w:val="nil"/>
            </w:tcBorders>
            <w:shd w:val="clear" w:color="auto" w:fill="auto"/>
            <w:vAlign w:val="center"/>
            <w:hideMark/>
          </w:tcPr>
          <w:p w14:paraId="770A5AA8" w14:textId="77777777" w:rsidR="000E3A94" w:rsidRPr="00897EE1" w:rsidRDefault="000E3A94" w:rsidP="00AD715B">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c>
          <w:tcPr>
            <w:tcW w:w="2140" w:type="dxa"/>
            <w:tcBorders>
              <w:top w:val="nil"/>
              <w:left w:val="nil"/>
              <w:bottom w:val="single" w:sz="4" w:space="0" w:color="auto"/>
              <w:right w:val="nil"/>
            </w:tcBorders>
            <w:shd w:val="clear" w:color="auto" w:fill="auto"/>
            <w:vAlign w:val="center"/>
            <w:hideMark/>
          </w:tcPr>
          <w:p w14:paraId="6344E9A6" w14:textId="77777777" w:rsidR="000E3A94" w:rsidRPr="00897EE1" w:rsidRDefault="000E3A94" w:rsidP="00AD715B">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r>
    </w:tbl>
    <w:p w14:paraId="39B69DC9" w14:textId="77777777" w:rsidR="000E3A94" w:rsidRDefault="000E3A94" w:rsidP="000E3A94">
      <w:pPr>
        <w:rPr>
          <w:color w:val="000000" w:themeColor="text1"/>
        </w:rPr>
      </w:pPr>
      <w:r w:rsidRPr="00172AD7">
        <w:rPr>
          <w:i/>
          <w:iCs/>
          <w:color w:val="000000" w:themeColor="text1"/>
        </w:rPr>
        <w:t xml:space="preserve">Note. </w:t>
      </w:r>
      <w:r w:rsidRPr="00172AD7">
        <w:rPr>
          <w:color w:val="000000" w:themeColor="text1"/>
        </w:rPr>
        <w:t>+ /- represents the Positive/Negative effect</w:t>
      </w:r>
      <w:r>
        <w:rPr>
          <w:color w:val="000000" w:themeColor="text1"/>
        </w:rPr>
        <w:t xml:space="preserve">. </w:t>
      </w:r>
      <w:r>
        <w:rPr>
          <w:color w:val="000000" w:themeColor="text1"/>
        </w:rPr>
        <w:br/>
      </w:r>
      <w:r w:rsidRPr="00172AD7">
        <w:rPr>
          <w:color w:val="000000" w:themeColor="text1"/>
        </w:rPr>
        <w:t>*** p&lt;0.01, ** p&lt;0.05, * p&lt;0.1</w:t>
      </w:r>
    </w:p>
    <w:p w14:paraId="2DD003F5" w14:textId="77777777" w:rsidR="000E3A94" w:rsidRDefault="000E3A94" w:rsidP="000E3A94">
      <w:pPr>
        <w:rPr>
          <w:b/>
          <w:bCs/>
          <w:color w:val="000000" w:themeColor="text1"/>
        </w:rPr>
        <w:sectPr w:rsidR="000E3A94" w:rsidSect="000E3A94">
          <w:pgSz w:w="12240" w:h="15840" w:code="1"/>
          <w:pgMar w:top="1440" w:right="1440" w:bottom="1440" w:left="1440" w:header="720" w:footer="720" w:gutter="0"/>
          <w:pgNumType w:start="1"/>
          <w:cols w:space="720"/>
          <w:docGrid w:linePitch="360"/>
        </w:sectPr>
      </w:pPr>
    </w:p>
    <w:p w14:paraId="75418FC2" w14:textId="48323811" w:rsidR="000E3A94" w:rsidRDefault="000E3A94" w:rsidP="000E3A94">
      <w:pPr>
        <w:pStyle w:val="BodyText"/>
        <w:ind w:firstLine="0"/>
        <w:jc w:val="center"/>
        <w:rPr>
          <w:b/>
          <w:bCs/>
        </w:rPr>
      </w:pPr>
      <w:r w:rsidRPr="000E3A94">
        <w:rPr>
          <w:b/>
          <w:bCs/>
        </w:rPr>
        <w:lastRenderedPageBreak/>
        <w:t>Figures</w:t>
      </w:r>
    </w:p>
    <w:p w14:paraId="06D77187" w14:textId="77777777" w:rsidR="000E3A94" w:rsidRDefault="000E3A94" w:rsidP="000E3A94">
      <w:pPr>
        <w:rPr>
          <w:color w:val="000000" w:themeColor="text1"/>
        </w:rPr>
      </w:pPr>
      <w:r>
        <w:rPr>
          <w:color w:val="000000" w:themeColor="text1"/>
        </w:rPr>
        <w:t>Figure 1</w:t>
      </w:r>
    </w:p>
    <w:p w14:paraId="122AF6E0" w14:textId="77777777" w:rsidR="000E3A94" w:rsidRDefault="000E3A94" w:rsidP="000E3A94">
      <w:pPr>
        <w:rPr>
          <w:i/>
          <w:iCs/>
          <w:color w:val="000000" w:themeColor="text1"/>
        </w:rPr>
      </w:pPr>
      <w:r w:rsidRPr="006F6D1A">
        <w:rPr>
          <w:i/>
          <w:iCs/>
          <w:color w:val="000000" w:themeColor="text1"/>
        </w:rPr>
        <w:t>Clusters of Listed -Firm Structure</w:t>
      </w:r>
    </w:p>
    <w:p w14:paraId="154DB702" w14:textId="77777777" w:rsidR="000E3A94" w:rsidRPr="006F6D1A" w:rsidRDefault="000E3A94" w:rsidP="000E3A94">
      <w:pPr>
        <w:rPr>
          <w:i/>
          <w:iCs/>
          <w:color w:val="000000" w:themeColor="text1"/>
        </w:rPr>
      </w:pPr>
      <w:r>
        <w:rPr>
          <w:noProof/>
          <w:sz w:val="22"/>
          <w:szCs w:val="22"/>
        </w:rPr>
        <w:drawing>
          <wp:inline distT="0" distB="0" distL="0" distR="0" wp14:anchorId="61729414" wp14:editId="03A7A0A1">
            <wp:extent cx="5731510" cy="3413760"/>
            <wp:effectExtent l="0" t="0" r="0" b="2540"/>
            <wp:docPr id="5" name="Picture 5" descr="A blue and red d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and red do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413760"/>
                    </a:xfrm>
                    <a:prstGeom prst="rect">
                      <a:avLst/>
                    </a:prstGeom>
                  </pic:spPr>
                </pic:pic>
              </a:graphicData>
            </a:graphic>
          </wp:inline>
        </w:drawing>
      </w:r>
    </w:p>
    <w:p w14:paraId="11E10FFA" w14:textId="77777777" w:rsidR="000E3A94" w:rsidRDefault="000E3A94" w:rsidP="000E3A94">
      <w:pPr>
        <w:pStyle w:val="BodyText"/>
        <w:ind w:firstLine="0"/>
        <w:jc w:val="center"/>
        <w:rPr>
          <w:b/>
          <w:bCs/>
        </w:rPr>
      </w:pPr>
    </w:p>
    <w:p w14:paraId="54043F5F" w14:textId="77777777" w:rsidR="000E3A94" w:rsidRPr="000E3A94" w:rsidRDefault="000E3A94" w:rsidP="000E3A94">
      <w:pPr>
        <w:pStyle w:val="BodyText"/>
        <w:ind w:firstLine="0"/>
        <w:jc w:val="center"/>
        <w:rPr>
          <w:b/>
          <w:bCs/>
        </w:rPr>
      </w:pPr>
    </w:p>
    <w:p w14:paraId="29DEEBF1" w14:textId="77777777" w:rsidR="000E3A94" w:rsidRDefault="000E3A94" w:rsidP="000E3A94">
      <w:pPr>
        <w:pStyle w:val="BodyText"/>
        <w:ind w:firstLine="0"/>
        <w:sectPr w:rsidR="000E3A94" w:rsidSect="000E3A94">
          <w:pgSz w:w="12240" w:h="15840" w:code="1"/>
          <w:pgMar w:top="1440" w:right="1440" w:bottom="1440" w:left="1440" w:header="720" w:footer="720" w:gutter="0"/>
          <w:cols w:space="720"/>
          <w:docGrid w:linePitch="360"/>
        </w:sectPr>
      </w:pPr>
    </w:p>
    <w:p w14:paraId="0425DD05" w14:textId="5B6147A1" w:rsidR="000E3A94" w:rsidRDefault="000E3A94" w:rsidP="000E3A94">
      <w:pPr>
        <w:pStyle w:val="BodyText"/>
        <w:ind w:firstLine="0"/>
        <w:jc w:val="center"/>
        <w:rPr>
          <w:b/>
          <w:bCs/>
        </w:rPr>
      </w:pPr>
      <w:r w:rsidRPr="000E3A94">
        <w:rPr>
          <w:b/>
          <w:bCs/>
        </w:rPr>
        <w:lastRenderedPageBreak/>
        <w:t>Appendix</w:t>
      </w:r>
    </w:p>
    <w:p w14:paraId="7CFA9C53" w14:textId="77777777" w:rsidR="000E3A94" w:rsidRDefault="000E3A94" w:rsidP="000E3A94">
      <w:pPr>
        <w:pStyle w:val="BodyText"/>
        <w:ind w:firstLine="0"/>
        <w:jc w:val="center"/>
        <w:rPr>
          <w:b/>
          <w:bCs/>
        </w:rPr>
      </w:pPr>
    </w:p>
    <w:p w14:paraId="027C4B06" w14:textId="77777777" w:rsidR="000E3A94" w:rsidRPr="00AB5E7F" w:rsidRDefault="000E3A94" w:rsidP="000E3A94">
      <w:pPr>
        <w:rPr>
          <w:color w:val="000000" w:themeColor="text1"/>
        </w:rPr>
      </w:pPr>
      <w:r w:rsidRPr="00AB5E7F">
        <w:rPr>
          <w:color w:val="000000" w:themeColor="text1"/>
        </w:rPr>
        <w:t>Appendix 1</w:t>
      </w:r>
    </w:p>
    <w:p w14:paraId="7556DF2C" w14:textId="77777777" w:rsidR="000E3A94" w:rsidRDefault="000E3A94" w:rsidP="000E3A94">
      <w:pPr>
        <w:rPr>
          <w:i/>
          <w:iCs/>
          <w:color w:val="000000" w:themeColor="text1"/>
        </w:rPr>
      </w:pPr>
      <w:r>
        <w:rPr>
          <w:i/>
          <w:iCs/>
          <w:color w:val="000000" w:themeColor="text1"/>
        </w:rPr>
        <w:t>Cluster Profile</w:t>
      </w:r>
    </w:p>
    <w:tbl>
      <w:tblPr>
        <w:tblW w:w="5000" w:type="pct"/>
        <w:tblLook w:val="04A0" w:firstRow="1" w:lastRow="0" w:firstColumn="1" w:lastColumn="0" w:noHBand="0" w:noVBand="1"/>
      </w:tblPr>
      <w:tblGrid>
        <w:gridCol w:w="1596"/>
        <w:gridCol w:w="1596"/>
        <w:gridCol w:w="1596"/>
        <w:gridCol w:w="1596"/>
        <w:gridCol w:w="1596"/>
        <w:gridCol w:w="1596"/>
      </w:tblGrid>
      <w:tr w:rsidR="000E3A94" w:rsidRPr="00446C3D" w14:paraId="79DD865C" w14:textId="77777777" w:rsidTr="00AD715B">
        <w:trPr>
          <w:trHeight w:val="320"/>
        </w:trPr>
        <w:tc>
          <w:tcPr>
            <w:tcW w:w="833" w:type="pct"/>
            <w:tcBorders>
              <w:top w:val="single" w:sz="4" w:space="0" w:color="auto"/>
              <w:left w:val="nil"/>
              <w:bottom w:val="single" w:sz="4" w:space="0" w:color="auto"/>
              <w:right w:val="nil"/>
            </w:tcBorders>
            <w:shd w:val="clear" w:color="auto" w:fill="auto"/>
            <w:noWrap/>
            <w:vAlign w:val="center"/>
            <w:hideMark/>
          </w:tcPr>
          <w:p w14:paraId="20BCA274" w14:textId="77777777" w:rsidR="000E3A94" w:rsidRPr="00446C3D" w:rsidRDefault="000E3A94" w:rsidP="00AD715B">
            <w:pPr>
              <w:suppressAutoHyphens w:val="0"/>
              <w:spacing w:line="240" w:lineRule="auto"/>
              <w:jc w:val="center"/>
              <w:rPr>
                <w:rFonts w:eastAsia="Times New Roman"/>
                <w:b/>
                <w:bCs/>
                <w:i/>
                <w:iCs/>
                <w:color w:val="000000"/>
                <w:lang w:val="en-KR" w:eastAsia="ko-KR"/>
              </w:rPr>
            </w:pPr>
            <w:r w:rsidRPr="00446C3D">
              <w:rPr>
                <w:rFonts w:eastAsia="Times New Roman"/>
                <w:b/>
                <w:bCs/>
                <w:i/>
                <w:iCs/>
                <w:color w:val="000000"/>
                <w:lang w:val="en-GB" w:eastAsia="ko-KR"/>
              </w:rPr>
              <w:t>Cluster</w:t>
            </w:r>
          </w:p>
        </w:tc>
        <w:tc>
          <w:tcPr>
            <w:tcW w:w="833" w:type="pct"/>
            <w:tcBorders>
              <w:top w:val="single" w:sz="4" w:space="0" w:color="auto"/>
              <w:left w:val="nil"/>
              <w:bottom w:val="single" w:sz="4" w:space="0" w:color="auto"/>
              <w:right w:val="nil"/>
            </w:tcBorders>
            <w:shd w:val="clear" w:color="auto" w:fill="auto"/>
            <w:noWrap/>
            <w:vAlign w:val="center"/>
            <w:hideMark/>
          </w:tcPr>
          <w:p w14:paraId="7FB0F78E" w14:textId="77777777" w:rsidR="000E3A94" w:rsidRPr="00446C3D" w:rsidRDefault="000E3A94" w:rsidP="00AD715B">
            <w:pPr>
              <w:suppressAutoHyphens w:val="0"/>
              <w:spacing w:line="240" w:lineRule="auto"/>
              <w:jc w:val="center"/>
              <w:rPr>
                <w:rFonts w:eastAsia="Times New Roman"/>
                <w:b/>
                <w:bCs/>
                <w:i/>
                <w:iCs/>
                <w:color w:val="000000"/>
                <w:lang w:val="en-KR" w:eastAsia="ko-KR"/>
              </w:rPr>
            </w:pPr>
            <w:proofErr w:type="spellStart"/>
            <w:r w:rsidRPr="00446C3D">
              <w:rPr>
                <w:rFonts w:eastAsia="Times New Roman"/>
                <w:b/>
                <w:bCs/>
                <w:i/>
                <w:iCs/>
                <w:color w:val="000000"/>
                <w:lang w:val="en-GB" w:eastAsia="ko-KR"/>
              </w:rPr>
              <w:t>Prodp</w:t>
            </w:r>
            <w:proofErr w:type="spellEnd"/>
          </w:p>
        </w:tc>
        <w:tc>
          <w:tcPr>
            <w:tcW w:w="833" w:type="pct"/>
            <w:tcBorders>
              <w:top w:val="single" w:sz="4" w:space="0" w:color="auto"/>
              <w:left w:val="nil"/>
              <w:bottom w:val="single" w:sz="4" w:space="0" w:color="auto"/>
              <w:right w:val="nil"/>
            </w:tcBorders>
            <w:shd w:val="clear" w:color="auto" w:fill="auto"/>
            <w:noWrap/>
            <w:vAlign w:val="center"/>
            <w:hideMark/>
          </w:tcPr>
          <w:p w14:paraId="4316045D" w14:textId="77777777" w:rsidR="000E3A94" w:rsidRPr="00446C3D" w:rsidRDefault="000E3A94" w:rsidP="00AD715B">
            <w:pPr>
              <w:suppressAutoHyphens w:val="0"/>
              <w:spacing w:line="240" w:lineRule="auto"/>
              <w:jc w:val="center"/>
              <w:rPr>
                <w:rFonts w:eastAsia="Times New Roman"/>
                <w:b/>
                <w:bCs/>
                <w:i/>
                <w:iCs/>
                <w:color w:val="000000"/>
                <w:lang w:val="en-KR" w:eastAsia="ko-KR"/>
              </w:rPr>
            </w:pPr>
            <w:proofErr w:type="spellStart"/>
            <w:r w:rsidRPr="00446C3D">
              <w:rPr>
                <w:rFonts w:eastAsia="Times New Roman"/>
                <w:b/>
                <w:bCs/>
                <w:i/>
                <w:iCs/>
                <w:color w:val="000000"/>
                <w:lang w:val="en-GB" w:eastAsia="ko-KR"/>
              </w:rPr>
              <w:t>Finp</w:t>
            </w:r>
            <w:proofErr w:type="spellEnd"/>
          </w:p>
        </w:tc>
        <w:tc>
          <w:tcPr>
            <w:tcW w:w="833" w:type="pct"/>
            <w:tcBorders>
              <w:top w:val="single" w:sz="4" w:space="0" w:color="auto"/>
              <w:left w:val="nil"/>
              <w:bottom w:val="single" w:sz="4" w:space="0" w:color="auto"/>
              <w:right w:val="nil"/>
            </w:tcBorders>
            <w:shd w:val="clear" w:color="auto" w:fill="auto"/>
            <w:noWrap/>
            <w:vAlign w:val="center"/>
            <w:hideMark/>
          </w:tcPr>
          <w:p w14:paraId="3EB22E57" w14:textId="77777777" w:rsidR="000E3A94" w:rsidRPr="00446C3D" w:rsidRDefault="000E3A94" w:rsidP="00AD715B">
            <w:pPr>
              <w:suppressAutoHyphens w:val="0"/>
              <w:spacing w:line="240" w:lineRule="auto"/>
              <w:jc w:val="center"/>
              <w:rPr>
                <w:rFonts w:eastAsia="Times New Roman"/>
                <w:b/>
                <w:bCs/>
                <w:i/>
                <w:iCs/>
                <w:color w:val="000000"/>
                <w:lang w:val="en-KR" w:eastAsia="ko-KR"/>
              </w:rPr>
            </w:pPr>
            <w:proofErr w:type="spellStart"/>
            <w:r w:rsidRPr="00446C3D">
              <w:rPr>
                <w:rFonts w:eastAsia="Times New Roman"/>
                <w:b/>
                <w:bCs/>
                <w:i/>
                <w:iCs/>
                <w:color w:val="000000"/>
                <w:lang w:val="en-GB" w:eastAsia="ko-KR"/>
              </w:rPr>
              <w:t>Salesp</w:t>
            </w:r>
            <w:proofErr w:type="spellEnd"/>
          </w:p>
        </w:tc>
        <w:tc>
          <w:tcPr>
            <w:tcW w:w="833" w:type="pct"/>
            <w:tcBorders>
              <w:top w:val="single" w:sz="4" w:space="0" w:color="auto"/>
              <w:left w:val="nil"/>
              <w:bottom w:val="single" w:sz="4" w:space="0" w:color="auto"/>
              <w:right w:val="nil"/>
            </w:tcBorders>
            <w:shd w:val="clear" w:color="auto" w:fill="auto"/>
            <w:noWrap/>
            <w:vAlign w:val="center"/>
            <w:hideMark/>
          </w:tcPr>
          <w:p w14:paraId="54A88F2E" w14:textId="77777777" w:rsidR="000E3A94" w:rsidRPr="00446C3D" w:rsidRDefault="000E3A94" w:rsidP="00AD715B">
            <w:pPr>
              <w:suppressAutoHyphens w:val="0"/>
              <w:spacing w:line="240" w:lineRule="auto"/>
              <w:jc w:val="center"/>
              <w:rPr>
                <w:rFonts w:eastAsia="Times New Roman"/>
                <w:b/>
                <w:bCs/>
                <w:i/>
                <w:iCs/>
                <w:color w:val="000000"/>
                <w:lang w:val="en-KR" w:eastAsia="ko-KR"/>
              </w:rPr>
            </w:pPr>
            <w:proofErr w:type="spellStart"/>
            <w:r w:rsidRPr="00446C3D">
              <w:rPr>
                <w:rFonts w:eastAsia="Times New Roman"/>
                <w:b/>
                <w:bCs/>
                <w:i/>
                <w:iCs/>
                <w:color w:val="000000"/>
                <w:lang w:val="en-GB" w:eastAsia="ko-KR"/>
              </w:rPr>
              <w:t>Techp</w:t>
            </w:r>
            <w:proofErr w:type="spellEnd"/>
          </w:p>
        </w:tc>
        <w:tc>
          <w:tcPr>
            <w:tcW w:w="833" w:type="pct"/>
            <w:tcBorders>
              <w:top w:val="single" w:sz="4" w:space="0" w:color="auto"/>
              <w:left w:val="nil"/>
              <w:bottom w:val="single" w:sz="4" w:space="0" w:color="auto"/>
              <w:right w:val="nil"/>
            </w:tcBorders>
            <w:shd w:val="clear" w:color="auto" w:fill="auto"/>
            <w:noWrap/>
            <w:vAlign w:val="center"/>
            <w:hideMark/>
          </w:tcPr>
          <w:p w14:paraId="6189ADCD" w14:textId="77777777" w:rsidR="000E3A94" w:rsidRPr="00446C3D" w:rsidRDefault="000E3A94" w:rsidP="00AD715B">
            <w:pPr>
              <w:suppressAutoHyphens w:val="0"/>
              <w:spacing w:line="240" w:lineRule="auto"/>
              <w:jc w:val="center"/>
              <w:rPr>
                <w:rFonts w:eastAsia="Times New Roman"/>
                <w:b/>
                <w:bCs/>
                <w:i/>
                <w:iCs/>
                <w:color w:val="000000"/>
                <w:lang w:val="en-KR" w:eastAsia="ko-KR"/>
              </w:rPr>
            </w:pPr>
            <w:proofErr w:type="spellStart"/>
            <w:r w:rsidRPr="00446C3D">
              <w:rPr>
                <w:rFonts w:eastAsia="Times New Roman"/>
                <w:b/>
                <w:bCs/>
                <w:i/>
                <w:iCs/>
                <w:color w:val="000000"/>
                <w:lang w:val="en-GB" w:eastAsia="ko-KR"/>
              </w:rPr>
              <w:t>Otherdp</w:t>
            </w:r>
            <w:proofErr w:type="spellEnd"/>
          </w:p>
        </w:tc>
      </w:tr>
      <w:tr w:rsidR="000E3A94" w:rsidRPr="00446C3D" w14:paraId="46B8C71D" w14:textId="77777777" w:rsidTr="00AD715B">
        <w:trPr>
          <w:trHeight w:val="320"/>
        </w:trPr>
        <w:tc>
          <w:tcPr>
            <w:tcW w:w="833" w:type="pct"/>
            <w:tcBorders>
              <w:top w:val="nil"/>
              <w:left w:val="nil"/>
              <w:bottom w:val="nil"/>
              <w:right w:val="nil"/>
            </w:tcBorders>
            <w:shd w:val="clear" w:color="auto" w:fill="auto"/>
            <w:noWrap/>
            <w:vAlign w:val="center"/>
            <w:hideMark/>
          </w:tcPr>
          <w:p w14:paraId="42785F0C" w14:textId="77777777" w:rsidR="000E3A94" w:rsidRPr="00446C3D" w:rsidRDefault="000E3A94" w:rsidP="00AD715B">
            <w:pPr>
              <w:suppressAutoHyphens w:val="0"/>
              <w:spacing w:line="240" w:lineRule="auto"/>
              <w:jc w:val="center"/>
              <w:rPr>
                <w:rFonts w:ascii="Calibri" w:eastAsia="Times New Roman" w:hAnsi="Calibri" w:cs="Calibri"/>
                <w:color w:val="000000"/>
                <w:lang w:val="en-KR" w:eastAsia="ko-KR"/>
              </w:rPr>
            </w:pPr>
            <w:r w:rsidRPr="00446C3D">
              <w:rPr>
                <w:rFonts w:ascii="Calibri" w:eastAsia="Times New Roman" w:hAnsi="Calibri" w:cs="Calibri"/>
                <w:color w:val="000000"/>
                <w:lang w:val="en-GB" w:eastAsia="ko-KR"/>
              </w:rPr>
              <w:t>1</w:t>
            </w:r>
          </w:p>
        </w:tc>
        <w:tc>
          <w:tcPr>
            <w:tcW w:w="833" w:type="pct"/>
            <w:tcBorders>
              <w:top w:val="nil"/>
              <w:left w:val="nil"/>
              <w:bottom w:val="nil"/>
              <w:right w:val="nil"/>
            </w:tcBorders>
            <w:shd w:val="clear" w:color="auto" w:fill="auto"/>
            <w:noWrap/>
            <w:vAlign w:val="center"/>
            <w:hideMark/>
          </w:tcPr>
          <w:p w14:paraId="1EE3314B" w14:textId="77777777" w:rsidR="000E3A94" w:rsidRPr="00446C3D" w:rsidRDefault="000E3A94" w:rsidP="00AD715B">
            <w:pPr>
              <w:suppressAutoHyphens w:val="0"/>
              <w:spacing w:line="240" w:lineRule="auto"/>
              <w:jc w:val="center"/>
              <w:rPr>
                <w:rFonts w:eastAsia="Times New Roman"/>
                <w:color w:val="000000"/>
                <w:lang w:val="en-KR" w:eastAsia="ko-KR"/>
              </w:rPr>
            </w:pPr>
            <w:r w:rsidRPr="00446C3D">
              <w:rPr>
                <w:rFonts w:eastAsia="Times New Roman"/>
                <w:color w:val="000000"/>
                <w:lang w:val="en-GB" w:eastAsia="ko-KR"/>
              </w:rPr>
              <w:t>24.06%</w:t>
            </w:r>
          </w:p>
        </w:tc>
        <w:tc>
          <w:tcPr>
            <w:tcW w:w="833" w:type="pct"/>
            <w:tcBorders>
              <w:top w:val="nil"/>
              <w:left w:val="nil"/>
              <w:bottom w:val="nil"/>
              <w:right w:val="nil"/>
            </w:tcBorders>
            <w:shd w:val="clear" w:color="auto" w:fill="auto"/>
            <w:noWrap/>
            <w:vAlign w:val="center"/>
            <w:hideMark/>
          </w:tcPr>
          <w:p w14:paraId="0CE6CD3C" w14:textId="77777777" w:rsidR="000E3A94" w:rsidRPr="00446C3D" w:rsidRDefault="000E3A94" w:rsidP="00AD715B">
            <w:pPr>
              <w:suppressAutoHyphens w:val="0"/>
              <w:spacing w:line="240" w:lineRule="auto"/>
              <w:jc w:val="center"/>
              <w:rPr>
                <w:rFonts w:eastAsia="Times New Roman"/>
                <w:color w:val="000000"/>
                <w:lang w:val="en-KR" w:eastAsia="ko-KR"/>
              </w:rPr>
            </w:pPr>
            <w:r w:rsidRPr="00446C3D">
              <w:rPr>
                <w:rFonts w:eastAsia="Times New Roman"/>
                <w:color w:val="000000"/>
                <w:lang w:val="en-GB" w:eastAsia="ko-KR"/>
              </w:rPr>
              <w:t>4.90%</w:t>
            </w:r>
          </w:p>
        </w:tc>
        <w:tc>
          <w:tcPr>
            <w:tcW w:w="833" w:type="pct"/>
            <w:tcBorders>
              <w:top w:val="nil"/>
              <w:left w:val="nil"/>
              <w:bottom w:val="nil"/>
              <w:right w:val="nil"/>
            </w:tcBorders>
            <w:shd w:val="clear" w:color="auto" w:fill="auto"/>
            <w:noWrap/>
            <w:vAlign w:val="center"/>
            <w:hideMark/>
          </w:tcPr>
          <w:p w14:paraId="0D5C391D" w14:textId="77777777" w:rsidR="000E3A94" w:rsidRPr="00446C3D" w:rsidRDefault="000E3A94" w:rsidP="00AD715B">
            <w:pPr>
              <w:suppressAutoHyphens w:val="0"/>
              <w:spacing w:line="240" w:lineRule="auto"/>
              <w:jc w:val="center"/>
              <w:rPr>
                <w:rFonts w:eastAsia="Times New Roman"/>
                <w:color w:val="000000"/>
                <w:lang w:val="en-KR" w:eastAsia="ko-KR"/>
              </w:rPr>
            </w:pPr>
            <w:r w:rsidRPr="00446C3D">
              <w:rPr>
                <w:rFonts w:eastAsia="Times New Roman"/>
                <w:color w:val="000000"/>
                <w:lang w:val="en-GB" w:eastAsia="ko-KR"/>
              </w:rPr>
              <w:t>27.89%</w:t>
            </w:r>
          </w:p>
        </w:tc>
        <w:tc>
          <w:tcPr>
            <w:tcW w:w="833" w:type="pct"/>
            <w:tcBorders>
              <w:top w:val="nil"/>
              <w:left w:val="nil"/>
              <w:bottom w:val="nil"/>
              <w:right w:val="nil"/>
            </w:tcBorders>
            <w:shd w:val="clear" w:color="auto" w:fill="auto"/>
            <w:noWrap/>
            <w:vAlign w:val="center"/>
            <w:hideMark/>
          </w:tcPr>
          <w:p w14:paraId="2607B77F" w14:textId="77777777" w:rsidR="000E3A94" w:rsidRPr="00446C3D" w:rsidRDefault="000E3A94" w:rsidP="00AD715B">
            <w:pPr>
              <w:suppressAutoHyphens w:val="0"/>
              <w:spacing w:line="240" w:lineRule="auto"/>
              <w:jc w:val="center"/>
              <w:rPr>
                <w:rFonts w:eastAsia="Times New Roman"/>
                <w:color w:val="000000"/>
                <w:lang w:val="en-KR" w:eastAsia="ko-KR"/>
              </w:rPr>
            </w:pPr>
            <w:r w:rsidRPr="00446C3D">
              <w:rPr>
                <w:rFonts w:eastAsia="Times New Roman"/>
                <w:color w:val="000000"/>
                <w:lang w:val="en-GB" w:eastAsia="ko-KR"/>
              </w:rPr>
              <w:t>13.26%</w:t>
            </w:r>
          </w:p>
        </w:tc>
        <w:tc>
          <w:tcPr>
            <w:tcW w:w="833" w:type="pct"/>
            <w:tcBorders>
              <w:top w:val="nil"/>
              <w:left w:val="nil"/>
              <w:bottom w:val="nil"/>
              <w:right w:val="nil"/>
            </w:tcBorders>
            <w:shd w:val="clear" w:color="auto" w:fill="auto"/>
            <w:noWrap/>
            <w:vAlign w:val="center"/>
            <w:hideMark/>
          </w:tcPr>
          <w:p w14:paraId="11175230" w14:textId="77777777" w:rsidR="000E3A94" w:rsidRPr="00446C3D" w:rsidRDefault="000E3A94" w:rsidP="00AD715B">
            <w:pPr>
              <w:suppressAutoHyphens w:val="0"/>
              <w:spacing w:line="240" w:lineRule="auto"/>
              <w:jc w:val="center"/>
              <w:rPr>
                <w:rFonts w:eastAsia="Times New Roman"/>
                <w:color w:val="000000"/>
                <w:lang w:val="en-KR" w:eastAsia="ko-KR"/>
              </w:rPr>
            </w:pPr>
            <w:r w:rsidRPr="00446C3D">
              <w:rPr>
                <w:rFonts w:eastAsia="Times New Roman"/>
                <w:color w:val="000000"/>
                <w:lang w:val="en-GB" w:eastAsia="ko-KR"/>
              </w:rPr>
              <w:t>29.89%</w:t>
            </w:r>
          </w:p>
        </w:tc>
      </w:tr>
      <w:tr w:rsidR="000E3A94" w:rsidRPr="00446C3D" w14:paraId="4C243AF7" w14:textId="77777777" w:rsidTr="00AD715B">
        <w:trPr>
          <w:trHeight w:val="320"/>
        </w:trPr>
        <w:tc>
          <w:tcPr>
            <w:tcW w:w="833" w:type="pct"/>
            <w:tcBorders>
              <w:top w:val="nil"/>
              <w:left w:val="nil"/>
              <w:bottom w:val="nil"/>
              <w:right w:val="nil"/>
            </w:tcBorders>
            <w:shd w:val="clear" w:color="auto" w:fill="auto"/>
            <w:noWrap/>
            <w:vAlign w:val="center"/>
            <w:hideMark/>
          </w:tcPr>
          <w:p w14:paraId="39BB8EE8" w14:textId="77777777" w:rsidR="000E3A94" w:rsidRPr="00446C3D" w:rsidRDefault="000E3A94" w:rsidP="00AD715B">
            <w:pPr>
              <w:suppressAutoHyphens w:val="0"/>
              <w:spacing w:line="240" w:lineRule="auto"/>
              <w:jc w:val="center"/>
              <w:rPr>
                <w:rFonts w:ascii="Calibri" w:eastAsia="Times New Roman" w:hAnsi="Calibri" w:cs="Calibri"/>
                <w:color w:val="000000"/>
                <w:lang w:val="en-KR" w:eastAsia="ko-KR"/>
              </w:rPr>
            </w:pPr>
            <w:r w:rsidRPr="00446C3D">
              <w:rPr>
                <w:rFonts w:ascii="Calibri" w:eastAsia="Times New Roman" w:hAnsi="Calibri" w:cs="Calibri"/>
                <w:color w:val="000000"/>
                <w:lang w:val="en-GB" w:eastAsia="ko-KR"/>
              </w:rPr>
              <w:t>2</w:t>
            </w:r>
          </w:p>
        </w:tc>
        <w:tc>
          <w:tcPr>
            <w:tcW w:w="833" w:type="pct"/>
            <w:tcBorders>
              <w:top w:val="nil"/>
              <w:left w:val="nil"/>
              <w:bottom w:val="nil"/>
              <w:right w:val="nil"/>
            </w:tcBorders>
            <w:shd w:val="clear" w:color="auto" w:fill="auto"/>
            <w:noWrap/>
            <w:vAlign w:val="center"/>
            <w:hideMark/>
          </w:tcPr>
          <w:p w14:paraId="6B663F48" w14:textId="77777777" w:rsidR="000E3A94" w:rsidRPr="00446C3D" w:rsidRDefault="000E3A94" w:rsidP="00AD715B">
            <w:pPr>
              <w:suppressAutoHyphens w:val="0"/>
              <w:spacing w:line="240" w:lineRule="auto"/>
              <w:jc w:val="center"/>
              <w:rPr>
                <w:rFonts w:eastAsia="Times New Roman"/>
                <w:color w:val="000000"/>
                <w:lang w:val="en-KR" w:eastAsia="ko-KR"/>
              </w:rPr>
            </w:pPr>
            <w:r w:rsidRPr="00446C3D">
              <w:rPr>
                <w:rFonts w:eastAsia="Times New Roman"/>
                <w:color w:val="000000"/>
                <w:lang w:val="en-GB" w:eastAsia="ko-KR"/>
              </w:rPr>
              <w:t>62.91%</w:t>
            </w:r>
          </w:p>
        </w:tc>
        <w:tc>
          <w:tcPr>
            <w:tcW w:w="833" w:type="pct"/>
            <w:tcBorders>
              <w:top w:val="nil"/>
              <w:left w:val="nil"/>
              <w:bottom w:val="nil"/>
              <w:right w:val="nil"/>
            </w:tcBorders>
            <w:shd w:val="clear" w:color="auto" w:fill="auto"/>
            <w:noWrap/>
            <w:vAlign w:val="center"/>
            <w:hideMark/>
          </w:tcPr>
          <w:p w14:paraId="4C96A7AA" w14:textId="77777777" w:rsidR="000E3A94" w:rsidRPr="00446C3D" w:rsidRDefault="000E3A94" w:rsidP="00AD715B">
            <w:pPr>
              <w:suppressAutoHyphens w:val="0"/>
              <w:spacing w:line="240" w:lineRule="auto"/>
              <w:jc w:val="center"/>
              <w:rPr>
                <w:rFonts w:eastAsia="Times New Roman"/>
                <w:color w:val="000000"/>
                <w:lang w:val="en-KR" w:eastAsia="ko-KR"/>
              </w:rPr>
            </w:pPr>
            <w:r w:rsidRPr="00446C3D">
              <w:rPr>
                <w:rFonts w:eastAsia="Times New Roman"/>
                <w:color w:val="000000"/>
                <w:lang w:val="en-GB" w:eastAsia="ko-KR"/>
              </w:rPr>
              <w:t>2.27%</w:t>
            </w:r>
          </w:p>
        </w:tc>
        <w:tc>
          <w:tcPr>
            <w:tcW w:w="833" w:type="pct"/>
            <w:tcBorders>
              <w:top w:val="nil"/>
              <w:left w:val="nil"/>
              <w:bottom w:val="nil"/>
              <w:right w:val="nil"/>
            </w:tcBorders>
            <w:shd w:val="clear" w:color="auto" w:fill="auto"/>
            <w:noWrap/>
            <w:vAlign w:val="center"/>
            <w:hideMark/>
          </w:tcPr>
          <w:p w14:paraId="4AAAFDFF" w14:textId="77777777" w:rsidR="000E3A94" w:rsidRPr="00446C3D" w:rsidRDefault="000E3A94" w:rsidP="00AD715B">
            <w:pPr>
              <w:suppressAutoHyphens w:val="0"/>
              <w:spacing w:line="240" w:lineRule="auto"/>
              <w:jc w:val="center"/>
              <w:rPr>
                <w:rFonts w:eastAsia="Times New Roman"/>
                <w:color w:val="000000"/>
                <w:lang w:val="en-KR" w:eastAsia="ko-KR"/>
              </w:rPr>
            </w:pPr>
            <w:r w:rsidRPr="00446C3D">
              <w:rPr>
                <w:rFonts w:eastAsia="Times New Roman"/>
                <w:color w:val="000000"/>
                <w:lang w:val="en-GB" w:eastAsia="ko-KR"/>
              </w:rPr>
              <w:t>6.53%</w:t>
            </w:r>
          </w:p>
        </w:tc>
        <w:tc>
          <w:tcPr>
            <w:tcW w:w="833" w:type="pct"/>
            <w:tcBorders>
              <w:top w:val="nil"/>
              <w:left w:val="nil"/>
              <w:bottom w:val="nil"/>
              <w:right w:val="nil"/>
            </w:tcBorders>
            <w:shd w:val="clear" w:color="auto" w:fill="auto"/>
            <w:noWrap/>
            <w:vAlign w:val="center"/>
            <w:hideMark/>
          </w:tcPr>
          <w:p w14:paraId="1CDF064A" w14:textId="77777777" w:rsidR="000E3A94" w:rsidRPr="00446C3D" w:rsidRDefault="000E3A94" w:rsidP="00AD715B">
            <w:pPr>
              <w:suppressAutoHyphens w:val="0"/>
              <w:spacing w:line="240" w:lineRule="auto"/>
              <w:jc w:val="center"/>
              <w:rPr>
                <w:rFonts w:eastAsia="Times New Roman"/>
                <w:color w:val="000000"/>
                <w:lang w:val="en-KR" w:eastAsia="ko-KR"/>
              </w:rPr>
            </w:pPr>
            <w:r w:rsidRPr="00446C3D">
              <w:rPr>
                <w:rFonts w:eastAsia="Times New Roman"/>
                <w:color w:val="000000"/>
                <w:lang w:val="en-GB" w:eastAsia="ko-KR"/>
              </w:rPr>
              <w:t>15.38%</w:t>
            </w:r>
          </w:p>
        </w:tc>
        <w:tc>
          <w:tcPr>
            <w:tcW w:w="833" w:type="pct"/>
            <w:tcBorders>
              <w:top w:val="nil"/>
              <w:left w:val="nil"/>
              <w:bottom w:val="nil"/>
              <w:right w:val="nil"/>
            </w:tcBorders>
            <w:shd w:val="clear" w:color="auto" w:fill="auto"/>
            <w:noWrap/>
            <w:vAlign w:val="center"/>
            <w:hideMark/>
          </w:tcPr>
          <w:p w14:paraId="330118E1" w14:textId="77777777" w:rsidR="000E3A94" w:rsidRPr="00446C3D" w:rsidRDefault="000E3A94" w:rsidP="00AD715B">
            <w:pPr>
              <w:suppressAutoHyphens w:val="0"/>
              <w:spacing w:line="240" w:lineRule="auto"/>
              <w:jc w:val="center"/>
              <w:rPr>
                <w:rFonts w:eastAsia="Times New Roman"/>
                <w:color w:val="000000"/>
                <w:lang w:val="en-KR" w:eastAsia="ko-KR"/>
              </w:rPr>
            </w:pPr>
            <w:r w:rsidRPr="00446C3D">
              <w:rPr>
                <w:rFonts w:eastAsia="Times New Roman"/>
                <w:color w:val="000000"/>
                <w:lang w:val="en-GB" w:eastAsia="ko-KR"/>
              </w:rPr>
              <w:t>12.91%</w:t>
            </w:r>
          </w:p>
        </w:tc>
      </w:tr>
      <w:tr w:rsidR="000E3A94" w:rsidRPr="00446C3D" w14:paraId="1CAE2A8B" w14:textId="77777777" w:rsidTr="00AD715B">
        <w:trPr>
          <w:trHeight w:val="320"/>
        </w:trPr>
        <w:tc>
          <w:tcPr>
            <w:tcW w:w="833" w:type="pct"/>
            <w:tcBorders>
              <w:top w:val="nil"/>
              <w:left w:val="nil"/>
              <w:bottom w:val="single" w:sz="4" w:space="0" w:color="auto"/>
              <w:right w:val="nil"/>
            </w:tcBorders>
            <w:shd w:val="clear" w:color="auto" w:fill="auto"/>
            <w:noWrap/>
            <w:vAlign w:val="center"/>
            <w:hideMark/>
          </w:tcPr>
          <w:p w14:paraId="24F6FDA8" w14:textId="77777777" w:rsidR="000E3A94" w:rsidRPr="00446C3D" w:rsidRDefault="000E3A94" w:rsidP="00AD715B">
            <w:pPr>
              <w:suppressAutoHyphens w:val="0"/>
              <w:spacing w:line="240" w:lineRule="auto"/>
              <w:jc w:val="center"/>
              <w:rPr>
                <w:rFonts w:ascii="Calibri" w:eastAsia="Times New Roman" w:hAnsi="Calibri" w:cs="Calibri"/>
                <w:color w:val="000000"/>
                <w:lang w:val="en-KR" w:eastAsia="ko-KR"/>
              </w:rPr>
            </w:pPr>
            <w:r w:rsidRPr="00446C3D">
              <w:rPr>
                <w:rFonts w:ascii="Calibri" w:eastAsia="Times New Roman" w:hAnsi="Calibri" w:cs="Calibri"/>
                <w:color w:val="000000"/>
                <w:lang w:val="en-GB" w:eastAsia="ko-KR"/>
              </w:rPr>
              <w:t>3</w:t>
            </w:r>
          </w:p>
        </w:tc>
        <w:tc>
          <w:tcPr>
            <w:tcW w:w="833" w:type="pct"/>
            <w:tcBorders>
              <w:top w:val="nil"/>
              <w:left w:val="nil"/>
              <w:bottom w:val="single" w:sz="4" w:space="0" w:color="auto"/>
              <w:right w:val="nil"/>
            </w:tcBorders>
            <w:shd w:val="clear" w:color="auto" w:fill="auto"/>
            <w:noWrap/>
            <w:vAlign w:val="center"/>
            <w:hideMark/>
          </w:tcPr>
          <w:p w14:paraId="326DED66" w14:textId="77777777" w:rsidR="000E3A94" w:rsidRPr="00446C3D" w:rsidRDefault="000E3A94" w:rsidP="00AD715B">
            <w:pPr>
              <w:suppressAutoHyphens w:val="0"/>
              <w:spacing w:line="240" w:lineRule="auto"/>
              <w:jc w:val="center"/>
              <w:rPr>
                <w:rFonts w:eastAsia="Times New Roman"/>
                <w:color w:val="000000"/>
                <w:lang w:val="en-KR" w:eastAsia="ko-KR"/>
              </w:rPr>
            </w:pPr>
            <w:r w:rsidRPr="00446C3D">
              <w:rPr>
                <w:rFonts w:eastAsia="Times New Roman"/>
                <w:color w:val="000000"/>
                <w:lang w:val="en-GB" w:eastAsia="ko-KR"/>
              </w:rPr>
              <w:t>21.18%</w:t>
            </w:r>
          </w:p>
        </w:tc>
        <w:tc>
          <w:tcPr>
            <w:tcW w:w="833" w:type="pct"/>
            <w:tcBorders>
              <w:top w:val="nil"/>
              <w:left w:val="nil"/>
              <w:bottom w:val="single" w:sz="4" w:space="0" w:color="auto"/>
              <w:right w:val="nil"/>
            </w:tcBorders>
            <w:shd w:val="clear" w:color="auto" w:fill="auto"/>
            <w:noWrap/>
            <w:vAlign w:val="center"/>
            <w:hideMark/>
          </w:tcPr>
          <w:p w14:paraId="3E3933F4" w14:textId="77777777" w:rsidR="000E3A94" w:rsidRPr="00446C3D" w:rsidRDefault="000E3A94" w:rsidP="00AD715B">
            <w:pPr>
              <w:suppressAutoHyphens w:val="0"/>
              <w:spacing w:line="240" w:lineRule="auto"/>
              <w:jc w:val="center"/>
              <w:rPr>
                <w:rFonts w:eastAsia="Times New Roman"/>
                <w:color w:val="000000"/>
                <w:lang w:val="en-KR" w:eastAsia="ko-KR"/>
              </w:rPr>
            </w:pPr>
            <w:r w:rsidRPr="00446C3D">
              <w:rPr>
                <w:rFonts w:eastAsia="Times New Roman"/>
                <w:color w:val="000000"/>
                <w:lang w:val="en-GB" w:eastAsia="ko-KR"/>
              </w:rPr>
              <w:t>2.88%</w:t>
            </w:r>
          </w:p>
        </w:tc>
        <w:tc>
          <w:tcPr>
            <w:tcW w:w="833" w:type="pct"/>
            <w:tcBorders>
              <w:top w:val="nil"/>
              <w:left w:val="nil"/>
              <w:bottom w:val="single" w:sz="4" w:space="0" w:color="auto"/>
              <w:right w:val="nil"/>
            </w:tcBorders>
            <w:shd w:val="clear" w:color="auto" w:fill="auto"/>
            <w:noWrap/>
            <w:vAlign w:val="center"/>
            <w:hideMark/>
          </w:tcPr>
          <w:p w14:paraId="338ADF93" w14:textId="77777777" w:rsidR="000E3A94" w:rsidRPr="00446C3D" w:rsidRDefault="000E3A94" w:rsidP="00AD715B">
            <w:pPr>
              <w:suppressAutoHyphens w:val="0"/>
              <w:spacing w:line="240" w:lineRule="auto"/>
              <w:jc w:val="center"/>
              <w:rPr>
                <w:rFonts w:eastAsia="Times New Roman"/>
                <w:color w:val="000000"/>
                <w:lang w:val="en-KR" w:eastAsia="ko-KR"/>
              </w:rPr>
            </w:pPr>
            <w:r w:rsidRPr="00446C3D">
              <w:rPr>
                <w:rFonts w:eastAsia="Times New Roman"/>
                <w:color w:val="000000"/>
                <w:lang w:val="en-GB" w:eastAsia="ko-KR"/>
              </w:rPr>
              <w:t>11.71%</w:t>
            </w:r>
          </w:p>
        </w:tc>
        <w:tc>
          <w:tcPr>
            <w:tcW w:w="833" w:type="pct"/>
            <w:tcBorders>
              <w:top w:val="nil"/>
              <w:left w:val="nil"/>
              <w:bottom w:val="single" w:sz="4" w:space="0" w:color="auto"/>
              <w:right w:val="nil"/>
            </w:tcBorders>
            <w:shd w:val="clear" w:color="auto" w:fill="auto"/>
            <w:noWrap/>
            <w:vAlign w:val="center"/>
            <w:hideMark/>
          </w:tcPr>
          <w:p w14:paraId="71AFCC43" w14:textId="77777777" w:rsidR="000E3A94" w:rsidRPr="00446C3D" w:rsidRDefault="000E3A94" w:rsidP="00AD715B">
            <w:pPr>
              <w:suppressAutoHyphens w:val="0"/>
              <w:spacing w:line="240" w:lineRule="auto"/>
              <w:jc w:val="center"/>
              <w:rPr>
                <w:rFonts w:eastAsia="Times New Roman"/>
                <w:color w:val="000000"/>
                <w:lang w:val="en-KR" w:eastAsia="ko-KR"/>
              </w:rPr>
            </w:pPr>
            <w:r w:rsidRPr="00446C3D">
              <w:rPr>
                <w:rFonts w:eastAsia="Times New Roman"/>
                <w:color w:val="000000"/>
                <w:lang w:val="en-GB" w:eastAsia="ko-KR"/>
              </w:rPr>
              <w:t>50.62%</w:t>
            </w:r>
          </w:p>
        </w:tc>
        <w:tc>
          <w:tcPr>
            <w:tcW w:w="833" w:type="pct"/>
            <w:tcBorders>
              <w:top w:val="nil"/>
              <w:left w:val="nil"/>
              <w:bottom w:val="single" w:sz="4" w:space="0" w:color="auto"/>
              <w:right w:val="nil"/>
            </w:tcBorders>
            <w:shd w:val="clear" w:color="auto" w:fill="auto"/>
            <w:noWrap/>
            <w:vAlign w:val="center"/>
            <w:hideMark/>
          </w:tcPr>
          <w:p w14:paraId="003C1995" w14:textId="77777777" w:rsidR="000E3A94" w:rsidRPr="00446C3D" w:rsidRDefault="000E3A94" w:rsidP="00AD715B">
            <w:pPr>
              <w:suppressAutoHyphens w:val="0"/>
              <w:spacing w:line="240" w:lineRule="auto"/>
              <w:jc w:val="center"/>
              <w:rPr>
                <w:rFonts w:eastAsia="Times New Roman"/>
                <w:color w:val="000000"/>
                <w:lang w:val="en-KR" w:eastAsia="ko-KR"/>
              </w:rPr>
            </w:pPr>
            <w:r w:rsidRPr="00446C3D">
              <w:rPr>
                <w:rFonts w:eastAsia="Times New Roman"/>
                <w:color w:val="000000"/>
                <w:lang w:val="en-GB" w:eastAsia="ko-KR"/>
              </w:rPr>
              <w:t>13.60%</w:t>
            </w:r>
          </w:p>
        </w:tc>
      </w:tr>
    </w:tbl>
    <w:p w14:paraId="60A2DFED" w14:textId="77777777" w:rsidR="000E3A94" w:rsidRPr="00172AD7" w:rsidRDefault="000E3A94" w:rsidP="000E3A94">
      <w:pPr>
        <w:rPr>
          <w:i/>
          <w:iCs/>
          <w:color w:val="000000" w:themeColor="text1"/>
        </w:rPr>
      </w:pPr>
    </w:p>
    <w:p w14:paraId="63756F9F" w14:textId="59D73AA1" w:rsidR="000E3A94" w:rsidRDefault="004322BD" w:rsidP="000E3A94">
      <w:pPr>
        <w:rPr>
          <w:color w:val="000000" w:themeColor="text1"/>
        </w:rPr>
      </w:pPr>
      <w:r>
        <w:rPr>
          <w:color w:val="000000" w:themeColor="text1"/>
        </w:rPr>
        <w:br w:type="page"/>
      </w:r>
      <w:r w:rsidR="000E3A94">
        <w:rPr>
          <w:color w:val="000000" w:themeColor="text1"/>
        </w:rPr>
        <w:lastRenderedPageBreak/>
        <w:t>Appendix 2</w:t>
      </w:r>
    </w:p>
    <w:p w14:paraId="2B480F83" w14:textId="77777777" w:rsidR="000E3A94" w:rsidRDefault="000E3A94" w:rsidP="000E3A94">
      <w:pPr>
        <w:rPr>
          <w:i/>
          <w:iCs/>
          <w:color w:val="000000" w:themeColor="text1"/>
        </w:rPr>
      </w:pPr>
      <w:r>
        <w:rPr>
          <w:i/>
          <w:iCs/>
          <w:color w:val="000000" w:themeColor="text1"/>
        </w:rPr>
        <w:t>Elbow method for Determining Optimal Number of Clusters</w:t>
      </w:r>
    </w:p>
    <w:p w14:paraId="0687EBE3" w14:textId="77777777" w:rsidR="000E3A94" w:rsidRPr="00A92C8C" w:rsidRDefault="000E3A94" w:rsidP="000E3A94">
      <w:pPr>
        <w:rPr>
          <w:color w:val="000000" w:themeColor="text1"/>
        </w:rPr>
      </w:pPr>
      <w:r>
        <w:rPr>
          <w:b/>
          <w:bCs/>
          <w:noProof/>
          <w:sz w:val="22"/>
          <w:szCs w:val="22"/>
        </w:rPr>
        <w:drawing>
          <wp:inline distT="0" distB="0" distL="0" distR="0" wp14:anchorId="364DE6F6" wp14:editId="65A22CDA">
            <wp:extent cx="5856838" cy="3540557"/>
            <wp:effectExtent l="0" t="0" r="0" b="3175"/>
            <wp:docPr id="3"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graph&#10;&#10;Description automatically generated"/>
                    <pic:cNvPicPr/>
                  </pic:nvPicPr>
                  <pic:blipFill rotWithShape="1">
                    <a:blip r:embed="rId14" cstate="print">
                      <a:extLst>
                        <a:ext uri="{28A0092B-C50C-407E-A947-70E740481C1C}">
                          <a14:useLocalDpi xmlns:a14="http://schemas.microsoft.com/office/drawing/2010/main" val="0"/>
                        </a:ext>
                      </a:extLst>
                    </a:blip>
                    <a:srcRect t="4325"/>
                    <a:stretch/>
                  </pic:blipFill>
                  <pic:spPr bwMode="auto">
                    <a:xfrm>
                      <a:off x="0" y="0"/>
                      <a:ext cx="6001943" cy="3628276"/>
                    </a:xfrm>
                    <a:prstGeom prst="rect">
                      <a:avLst/>
                    </a:prstGeom>
                    <a:ln>
                      <a:noFill/>
                    </a:ln>
                    <a:extLst>
                      <a:ext uri="{53640926-AAD7-44D8-BBD7-CCE9431645EC}">
                        <a14:shadowObscured xmlns:a14="http://schemas.microsoft.com/office/drawing/2010/main"/>
                      </a:ext>
                    </a:extLst>
                  </pic:spPr>
                </pic:pic>
              </a:graphicData>
            </a:graphic>
          </wp:inline>
        </w:drawing>
      </w:r>
    </w:p>
    <w:p w14:paraId="27710808" w14:textId="77777777" w:rsidR="000E3A94" w:rsidRDefault="000E3A94" w:rsidP="000E3A94"/>
    <w:p w14:paraId="45612FCA" w14:textId="77777777" w:rsidR="000E3A94" w:rsidRPr="000E3A94" w:rsidRDefault="000E3A94" w:rsidP="000E3A94">
      <w:pPr>
        <w:pStyle w:val="BodyText"/>
        <w:ind w:firstLine="0"/>
        <w:jc w:val="center"/>
        <w:rPr>
          <w:b/>
          <w:bCs/>
        </w:rPr>
      </w:pPr>
    </w:p>
    <w:sectPr w:rsidR="000E3A94" w:rsidRPr="000E3A94" w:rsidSect="000E3A9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ad Chae" w:date="2024-09-06T08:13:00Z" w:initials="CC">
    <w:p w14:paraId="0A9624F6" w14:textId="77777777" w:rsidR="00C06757" w:rsidRDefault="00C06757" w:rsidP="00C06757">
      <w:r>
        <w:rPr>
          <w:rStyle w:val="CommentReference"/>
        </w:rPr>
        <w:annotationRef/>
      </w:r>
      <w:r>
        <w:rPr>
          <w:color w:val="000000"/>
          <w:sz w:val="20"/>
          <w:szCs w:val="20"/>
        </w:rPr>
        <w:t>0. AI writing indicator is * which is below 20% that may false positive.</w:t>
      </w:r>
    </w:p>
    <w:p w14:paraId="3D149ACE" w14:textId="77777777" w:rsidR="00C06757" w:rsidRDefault="00C06757" w:rsidP="00C06757">
      <w:r>
        <w:rPr>
          <w:color w:val="000000"/>
          <w:sz w:val="20"/>
          <w:szCs w:val="20"/>
        </w:rPr>
        <w:t>1. Review manuscript</w:t>
      </w:r>
    </w:p>
    <w:p w14:paraId="5A839578" w14:textId="77777777" w:rsidR="00C06757" w:rsidRDefault="00C06757" w:rsidP="00C06757">
      <w:r>
        <w:rPr>
          <w:color w:val="000000"/>
          <w:sz w:val="20"/>
          <w:szCs w:val="20"/>
        </w:rPr>
        <w:t>2. Find literature that fit in (CITATION), and add it.</w:t>
      </w:r>
    </w:p>
    <w:p w14:paraId="050A051F" w14:textId="77777777" w:rsidR="00C06757" w:rsidRDefault="00C06757" w:rsidP="00C06757">
      <w:r>
        <w:rPr>
          <w:color w:val="000000"/>
          <w:sz w:val="20"/>
          <w:szCs w:val="20"/>
        </w:rPr>
        <w:t>3. Don’t forget add reference of new citation</w:t>
      </w:r>
    </w:p>
    <w:p w14:paraId="6C7338A5" w14:textId="77777777" w:rsidR="00C06757" w:rsidRDefault="00C06757" w:rsidP="00C06757">
      <w:r>
        <w:rPr>
          <w:color w:val="000000"/>
          <w:sz w:val="20"/>
          <w:szCs w:val="20"/>
        </w:rPr>
        <w:t>4. Fill in DOIs in references</w:t>
      </w:r>
    </w:p>
    <w:p w14:paraId="1B510F99" w14:textId="77777777" w:rsidR="00C06757" w:rsidRDefault="00C06757" w:rsidP="00C06757">
      <w:r>
        <w:rPr>
          <w:color w:val="000000"/>
          <w:sz w:val="20"/>
          <w:szCs w:val="20"/>
        </w:rPr>
        <w:t>5. Submit tonight or tomorrow morning after review all comment and review context</w:t>
      </w:r>
    </w:p>
    <w:p w14:paraId="0FD02B97" w14:textId="77777777" w:rsidR="00C06757" w:rsidRDefault="00C06757" w:rsidP="00C06757"/>
    <w:p w14:paraId="4024EC83" w14:textId="77777777" w:rsidR="00C06757" w:rsidRDefault="00C06757" w:rsidP="00C06757">
      <w:r>
        <w:rPr>
          <w:color w:val="000000"/>
          <w:sz w:val="20"/>
          <w:szCs w:val="20"/>
        </w:rPr>
        <w:t>- This version is for conference submission.</w:t>
      </w:r>
    </w:p>
    <w:p w14:paraId="63924151" w14:textId="77777777" w:rsidR="00C06757" w:rsidRDefault="00C06757" w:rsidP="00C06757">
      <w:r>
        <w:rPr>
          <w:color w:val="000000"/>
          <w:sz w:val="20"/>
          <w:szCs w:val="20"/>
        </w:rPr>
        <w:t>- Still literature part of hypothesis development need to add</w:t>
      </w:r>
    </w:p>
    <w:p w14:paraId="217B363A" w14:textId="77777777" w:rsidR="00C06757" w:rsidRDefault="00C06757" w:rsidP="00C06757">
      <w:r>
        <w:rPr>
          <w:color w:val="000000"/>
          <w:sz w:val="20"/>
          <w:szCs w:val="20"/>
        </w:rPr>
        <w:t>- Introduction and discussion also mainly revised after review new articles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7B36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8FEDE9" w16cex:dateUtc="2024-09-06T0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7B363A" w16cid:durableId="4E8FED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E838E" w14:textId="77777777" w:rsidR="00C32EC6" w:rsidRDefault="00C32EC6">
      <w:r>
        <w:separator/>
      </w:r>
    </w:p>
  </w:endnote>
  <w:endnote w:type="continuationSeparator" w:id="0">
    <w:p w14:paraId="16F34E12" w14:textId="77777777" w:rsidR="00C32EC6" w:rsidRDefault="00C32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B0604020202020204"/>
    <w:charset w:val="4D"/>
    <w:family w:val="roman"/>
    <w:notTrueType/>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F7859" w14:textId="77777777" w:rsidR="00C32EC6" w:rsidRDefault="00C32EC6">
      <w:r>
        <w:separator/>
      </w:r>
    </w:p>
  </w:footnote>
  <w:footnote w:type="continuationSeparator" w:id="0">
    <w:p w14:paraId="70692541" w14:textId="77777777" w:rsidR="00C32EC6" w:rsidRDefault="00C32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4E70A" w14:textId="4829B8B3" w:rsidR="007E3E2C" w:rsidRDefault="00E70838" w:rsidP="004739AB">
    <w:pPr>
      <w:pStyle w:val="Header"/>
      <w:tabs>
        <w:tab w:val="clear" w:pos="8640"/>
        <w:tab w:val="clear" w:pos="9360"/>
        <w:tab w:val="right" w:pos="9270"/>
      </w:tabs>
    </w:pPr>
    <w:r>
      <w:t>DIGITAL TRANSFORMATION AND HUMAN RESOURCE STRUCTURE</w:t>
    </w:r>
    <w:r w:rsidR="007E3E2C">
      <w:tab/>
    </w:r>
    <w:r w:rsidR="007E3E2C">
      <w:rPr>
        <w:rStyle w:val="PageNumber"/>
      </w:rPr>
      <w:fldChar w:fldCharType="begin"/>
    </w:r>
    <w:r w:rsidR="007E3E2C">
      <w:rPr>
        <w:rStyle w:val="PageNumber"/>
      </w:rPr>
      <w:instrText xml:space="preserve"> PAGE </w:instrText>
    </w:r>
    <w:r w:rsidR="007E3E2C">
      <w:rPr>
        <w:rStyle w:val="PageNumber"/>
      </w:rPr>
      <w:fldChar w:fldCharType="separate"/>
    </w:r>
    <w:r w:rsidR="0004791E">
      <w:rPr>
        <w:rStyle w:val="PageNumber"/>
        <w:noProof/>
      </w:rPr>
      <w:t>1</w:t>
    </w:r>
    <w:r w:rsidR="007E3E2C">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8E820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0"/>
    <w:multiLevelType w:val="singleLevel"/>
    <w:tmpl w:val="753C23C2"/>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1A8A4428"/>
    <w:multiLevelType w:val="hybridMultilevel"/>
    <w:tmpl w:val="DF020A30"/>
    <w:lvl w:ilvl="0" w:tplc="A888F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F69E5"/>
    <w:multiLevelType w:val="hybridMultilevel"/>
    <w:tmpl w:val="8470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12126"/>
    <w:multiLevelType w:val="multilevel"/>
    <w:tmpl w:val="DF020A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27499326">
    <w:abstractNumId w:val="1"/>
  </w:num>
  <w:num w:numId="2" w16cid:durableId="633800054">
    <w:abstractNumId w:val="0"/>
  </w:num>
  <w:num w:numId="3" w16cid:durableId="1191336878">
    <w:abstractNumId w:val="2"/>
  </w:num>
  <w:num w:numId="4" w16cid:durableId="496002350">
    <w:abstractNumId w:val="4"/>
  </w:num>
  <w:num w:numId="5" w16cid:durableId="18825927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ad Chae">
    <w15:presenceInfo w15:providerId="Windows Live" w15:userId="42b8f4003cd8d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5A09"/>
    <w:rsid w:val="00001F57"/>
    <w:rsid w:val="00012356"/>
    <w:rsid w:val="000150E1"/>
    <w:rsid w:val="00016524"/>
    <w:rsid w:val="00017D8D"/>
    <w:rsid w:val="00020AC8"/>
    <w:rsid w:val="00020D95"/>
    <w:rsid w:val="0002192C"/>
    <w:rsid w:val="00024A89"/>
    <w:rsid w:val="0002770B"/>
    <w:rsid w:val="000277E8"/>
    <w:rsid w:val="00030662"/>
    <w:rsid w:val="00032029"/>
    <w:rsid w:val="000341DA"/>
    <w:rsid w:val="000410EA"/>
    <w:rsid w:val="0004791E"/>
    <w:rsid w:val="00052C7B"/>
    <w:rsid w:val="00060E0E"/>
    <w:rsid w:val="00063AB2"/>
    <w:rsid w:val="00074EF1"/>
    <w:rsid w:val="00076222"/>
    <w:rsid w:val="0007725A"/>
    <w:rsid w:val="00077BB9"/>
    <w:rsid w:val="0008170D"/>
    <w:rsid w:val="00092020"/>
    <w:rsid w:val="000B2EE8"/>
    <w:rsid w:val="000B688F"/>
    <w:rsid w:val="000C1083"/>
    <w:rsid w:val="000D133B"/>
    <w:rsid w:val="000D3C43"/>
    <w:rsid w:val="000E1BFC"/>
    <w:rsid w:val="000E1F19"/>
    <w:rsid w:val="000E3A94"/>
    <w:rsid w:val="000F0C26"/>
    <w:rsid w:val="000F1E43"/>
    <w:rsid w:val="000F72A1"/>
    <w:rsid w:val="000F73F4"/>
    <w:rsid w:val="000F749F"/>
    <w:rsid w:val="000F7E6D"/>
    <w:rsid w:val="001011FF"/>
    <w:rsid w:val="0010370D"/>
    <w:rsid w:val="00106974"/>
    <w:rsid w:val="00110F7A"/>
    <w:rsid w:val="0011496E"/>
    <w:rsid w:val="00122501"/>
    <w:rsid w:val="001252C9"/>
    <w:rsid w:val="0012534D"/>
    <w:rsid w:val="00125577"/>
    <w:rsid w:val="00130A67"/>
    <w:rsid w:val="00131143"/>
    <w:rsid w:val="00131594"/>
    <w:rsid w:val="00132D17"/>
    <w:rsid w:val="0013302B"/>
    <w:rsid w:val="0013429C"/>
    <w:rsid w:val="00135571"/>
    <w:rsid w:val="001362AC"/>
    <w:rsid w:val="00142A8A"/>
    <w:rsid w:val="00143AAA"/>
    <w:rsid w:val="001458C0"/>
    <w:rsid w:val="00145E80"/>
    <w:rsid w:val="00146261"/>
    <w:rsid w:val="001468AB"/>
    <w:rsid w:val="0015085B"/>
    <w:rsid w:val="00163716"/>
    <w:rsid w:val="00173D54"/>
    <w:rsid w:val="00174BBD"/>
    <w:rsid w:val="001756D3"/>
    <w:rsid w:val="00180C7F"/>
    <w:rsid w:val="00182487"/>
    <w:rsid w:val="00191160"/>
    <w:rsid w:val="00195D69"/>
    <w:rsid w:val="00195EB0"/>
    <w:rsid w:val="00196502"/>
    <w:rsid w:val="001A1063"/>
    <w:rsid w:val="001A3776"/>
    <w:rsid w:val="001A6028"/>
    <w:rsid w:val="001B01CB"/>
    <w:rsid w:val="001B08A2"/>
    <w:rsid w:val="001B1B29"/>
    <w:rsid w:val="001B257F"/>
    <w:rsid w:val="001C288A"/>
    <w:rsid w:val="001C3783"/>
    <w:rsid w:val="001C6917"/>
    <w:rsid w:val="001D0B86"/>
    <w:rsid w:val="001D596F"/>
    <w:rsid w:val="001D6C99"/>
    <w:rsid w:val="001D7380"/>
    <w:rsid w:val="001E2CC3"/>
    <w:rsid w:val="001E4010"/>
    <w:rsid w:val="001E6B65"/>
    <w:rsid w:val="001E7F39"/>
    <w:rsid w:val="001F0B77"/>
    <w:rsid w:val="001F22B0"/>
    <w:rsid w:val="001F2851"/>
    <w:rsid w:val="001F3A10"/>
    <w:rsid w:val="001F3A7A"/>
    <w:rsid w:val="001F6403"/>
    <w:rsid w:val="001F6548"/>
    <w:rsid w:val="001F7A7B"/>
    <w:rsid w:val="00203B23"/>
    <w:rsid w:val="00203F9B"/>
    <w:rsid w:val="002057CC"/>
    <w:rsid w:val="002118A9"/>
    <w:rsid w:val="00212CFF"/>
    <w:rsid w:val="00214FED"/>
    <w:rsid w:val="00225795"/>
    <w:rsid w:val="00227DE6"/>
    <w:rsid w:val="00232805"/>
    <w:rsid w:val="0023305E"/>
    <w:rsid w:val="00236525"/>
    <w:rsid w:val="00240360"/>
    <w:rsid w:val="00245342"/>
    <w:rsid w:val="0024796E"/>
    <w:rsid w:val="00250E85"/>
    <w:rsid w:val="00253527"/>
    <w:rsid w:val="002616EB"/>
    <w:rsid w:val="002625ED"/>
    <w:rsid w:val="00264941"/>
    <w:rsid w:val="00270251"/>
    <w:rsid w:val="00272273"/>
    <w:rsid w:val="00273D90"/>
    <w:rsid w:val="0028400B"/>
    <w:rsid w:val="0028716C"/>
    <w:rsid w:val="0029134E"/>
    <w:rsid w:val="002924C1"/>
    <w:rsid w:val="00295ED7"/>
    <w:rsid w:val="002A110A"/>
    <w:rsid w:val="002A431D"/>
    <w:rsid w:val="002A6D24"/>
    <w:rsid w:val="002A6DA7"/>
    <w:rsid w:val="002B59AE"/>
    <w:rsid w:val="002C7FC6"/>
    <w:rsid w:val="002D4125"/>
    <w:rsid w:val="002D6655"/>
    <w:rsid w:val="002D7413"/>
    <w:rsid w:val="002E14E8"/>
    <w:rsid w:val="002E5F1C"/>
    <w:rsid w:val="002E734C"/>
    <w:rsid w:val="002F2F33"/>
    <w:rsid w:val="00301402"/>
    <w:rsid w:val="0030333B"/>
    <w:rsid w:val="00304855"/>
    <w:rsid w:val="003049E8"/>
    <w:rsid w:val="0031050E"/>
    <w:rsid w:val="00311AF5"/>
    <w:rsid w:val="003128C9"/>
    <w:rsid w:val="003153DD"/>
    <w:rsid w:val="0032173B"/>
    <w:rsid w:val="00323766"/>
    <w:rsid w:val="00324906"/>
    <w:rsid w:val="00326176"/>
    <w:rsid w:val="00335453"/>
    <w:rsid w:val="00335D13"/>
    <w:rsid w:val="00337883"/>
    <w:rsid w:val="003549C1"/>
    <w:rsid w:val="0035569F"/>
    <w:rsid w:val="003558F1"/>
    <w:rsid w:val="00356B39"/>
    <w:rsid w:val="00357191"/>
    <w:rsid w:val="0036051E"/>
    <w:rsid w:val="0036259B"/>
    <w:rsid w:val="0037354B"/>
    <w:rsid w:val="00380D95"/>
    <w:rsid w:val="00380E06"/>
    <w:rsid w:val="00386048"/>
    <w:rsid w:val="0039064E"/>
    <w:rsid w:val="00395611"/>
    <w:rsid w:val="003976EA"/>
    <w:rsid w:val="003A6F9D"/>
    <w:rsid w:val="003B2EBE"/>
    <w:rsid w:val="003B4E52"/>
    <w:rsid w:val="003B77D9"/>
    <w:rsid w:val="003C3DD9"/>
    <w:rsid w:val="003C4808"/>
    <w:rsid w:val="003C7004"/>
    <w:rsid w:val="003D59A9"/>
    <w:rsid w:val="003D78FB"/>
    <w:rsid w:val="003E045F"/>
    <w:rsid w:val="003E2B0B"/>
    <w:rsid w:val="003E6AF7"/>
    <w:rsid w:val="003F3460"/>
    <w:rsid w:val="003F45A7"/>
    <w:rsid w:val="003F6CE5"/>
    <w:rsid w:val="00400827"/>
    <w:rsid w:val="00403BEE"/>
    <w:rsid w:val="00410B80"/>
    <w:rsid w:val="00413209"/>
    <w:rsid w:val="00417D74"/>
    <w:rsid w:val="00426185"/>
    <w:rsid w:val="004301CA"/>
    <w:rsid w:val="004322BD"/>
    <w:rsid w:val="004327BD"/>
    <w:rsid w:val="004329A4"/>
    <w:rsid w:val="00434381"/>
    <w:rsid w:val="00434966"/>
    <w:rsid w:val="00441635"/>
    <w:rsid w:val="00441C74"/>
    <w:rsid w:val="00452FDD"/>
    <w:rsid w:val="004541E5"/>
    <w:rsid w:val="00454D2C"/>
    <w:rsid w:val="00457337"/>
    <w:rsid w:val="00463AA3"/>
    <w:rsid w:val="00463BD5"/>
    <w:rsid w:val="004713F1"/>
    <w:rsid w:val="00472BF9"/>
    <w:rsid w:val="004731E6"/>
    <w:rsid w:val="004739AB"/>
    <w:rsid w:val="004765D6"/>
    <w:rsid w:val="00481C94"/>
    <w:rsid w:val="004859BD"/>
    <w:rsid w:val="00486CD7"/>
    <w:rsid w:val="00487104"/>
    <w:rsid w:val="004942DE"/>
    <w:rsid w:val="004945ED"/>
    <w:rsid w:val="00494EEB"/>
    <w:rsid w:val="004A4F93"/>
    <w:rsid w:val="004B2F32"/>
    <w:rsid w:val="004B736F"/>
    <w:rsid w:val="004B7BC9"/>
    <w:rsid w:val="004C0635"/>
    <w:rsid w:val="004D268F"/>
    <w:rsid w:val="004D29AB"/>
    <w:rsid w:val="004D4ECE"/>
    <w:rsid w:val="004D670F"/>
    <w:rsid w:val="004E0CD1"/>
    <w:rsid w:val="004E278C"/>
    <w:rsid w:val="004E6B77"/>
    <w:rsid w:val="004F1739"/>
    <w:rsid w:val="004F264D"/>
    <w:rsid w:val="00501A67"/>
    <w:rsid w:val="00502390"/>
    <w:rsid w:val="00505213"/>
    <w:rsid w:val="0050539C"/>
    <w:rsid w:val="005128CF"/>
    <w:rsid w:val="005130C7"/>
    <w:rsid w:val="005158FF"/>
    <w:rsid w:val="005259B1"/>
    <w:rsid w:val="005259F6"/>
    <w:rsid w:val="00526840"/>
    <w:rsid w:val="00533760"/>
    <w:rsid w:val="00534552"/>
    <w:rsid w:val="00535D2F"/>
    <w:rsid w:val="00536441"/>
    <w:rsid w:val="00541066"/>
    <w:rsid w:val="00543694"/>
    <w:rsid w:val="00547622"/>
    <w:rsid w:val="00551371"/>
    <w:rsid w:val="00552854"/>
    <w:rsid w:val="00552CBE"/>
    <w:rsid w:val="00552CE9"/>
    <w:rsid w:val="00556203"/>
    <w:rsid w:val="00562C73"/>
    <w:rsid w:val="005709B4"/>
    <w:rsid w:val="00571E7C"/>
    <w:rsid w:val="005740CE"/>
    <w:rsid w:val="005810B3"/>
    <w:rsid w:val="005819FC"/>
    <w:rsid w:val="0058495B"/>
    <w:rsid w:val="005A0AD0"/>
    <w:rsid w:val="005A0CD4"/>
    <w:rsid w:val="005A1D8A"/>
    <w:rsid w:val="005B25A9"/>
    <w:rsid w:val="005B27EE"/>
    <w:rsid w:val="005B68A7"/>
    <w:rsid w:val="005B6CA9"/>
    <w:rsid w:val="005B786A"/>
    <w:rsid w:val="005C0B07"/>
    <w:rsid w:val="005C0F45"/>
    <w:rsid w:val="005C3A33"/>
    <w:rsid w:val="005C6B2B"/>
    <w:rsid w:val="005C7CF0"/>
    <w:rsid w:val="005D53D4"/>
    <w:rsid w:val="005D6179"/>
    <w:rsid w:val="005E306A"/>
    <w:rsid w:val="005F1DC3"/>
    <w:rsid w:val="005F577C"/>
    <w:rsid w:val="00614079"/>
    <w:rsid w:val="00614120"/>
    <w:rsid w:val="00617F63"/>
    <w:rsid w:val="00621EC8"/>
    <w:rsid w:val="00637F4F"/>
    <w:rsid w:val="00642332"/>
    <w:rsid w:val="006437E4"/>
    <w:rsid w:val="0064424B"/>
    <w:rsid w:val="00644806"/>
    <w:rsid w:val="00646142"/>
    <w:rsid w:val="00654E7F"/>
    <w:rsid w:val="00657AE9"/>
    <w:rsid w:val="006600C1"/>
    <w:rsid w:val="006619D6"/>
    <w:rsid w:val="00681F6E"/>
    <w:rsid w:val="00682145"/>
    <w:rsid w:val="006840D1"/>
    <w:rsid w:val="00684725"/>
    <w:rsid w:val="00686073"/>
    <w:rsid w:val="006875F0"/>
    <w:rsid w:val="00691946"/>
    <w:rsid w:val="00691B8F"/>
    <w:rsid w:val="00693A93"/>
    <w:rsid w:val="006947E4"/>
    <w:rsid w:val="006A130C"/>
    <w:rsid w:val="006A1968"/>
    <w:rsid w:val="006A2ED2"/>
    <w:rsid w:val="006A5CF5"/>
    <w:rsid w:val="006B6204"/>
    <w:rsid w:val="006C150D"/>
    <w:rsid w:val="006C3072"/>
    <w:rsid w:val="006D04A7"/>
    <w:rsid w:val="006E7EA2"/>
    <w:rsid w:val="006F6DB2"/>
    <w:rsid w:val="00700C8A"/>
    <w:rsid w:val="00703F54"/>
    <w:rsid w:val="00705A09"/>
    <w:rsid w:val="00705A7A"/>
    <w:rsid w:val="00706640"/>
    <w:rsid w:val="00707E4B"/>
    <w:rsid w:val="00710FD9"/>
    <w:rsid w:val="007215F8"/>
    <w:rsid w:val="0072464F"/>
    <w:rsid w:val="007336D5"/>
    <w:rsid w:val="007373B0"/>
    <w:rsid w:val="007464D4"/>
    <w:rsid w:val="00747BE3"/>
    <w:rsid w:val="00750986"/>
    <w:rsid w:val="0075119B"/>
    <w:rsid w:val="00752CD4"/>
    <w:rsid w:val="007539F3"/>
    <w:rsid w:val="00753BDA"/>
    <w:rsid w:val="00755094"/>
    <w:rsid w:val="00755335"/>
    <w:rsid w:val="00755D13"/>
    <w:rsid w:val="007564F6"/>
    <w:rsid w:val="00763C04"/>
    <w:rsid w:val="00764090"/>
    <w:rsid w:val="00764157"/>
    <w:rsid w:val="007718B0"/>
    <w:rsid w:val="007737BD"/>
    <w:rsid w:val="00781B23"/>
    <w:rsid w:val="00782199"/>
    <w:rsid w:val="007832B1"/>
    <w:rsid w:val="007838B4"/>
    <w:rsid w:val="00786536"/>
    <w:rsid w:val="00794E23"/>
    <w:rsid w:val="007A2A9B"/>
    <w:rsid w:val="007A6705"/>
    <w:rsid w:val="007B3561"/>
    <w:rsid w:val="007C3107"/>
    <w:rsid w:val="007C4223"/>
    <w:rsid w:val="007C4AC6"/>
    <w:rsid w:val="007C62AE"/>
    <w:rsid w:val="007D305B"/>
    <w:rsid w:val="007D3FC0"/>
    <w:rsid w:val="007D7FAE"/>
    <w:rsid w:val="007E069E"/>
    <w:rsid w:val="007E3E2C"/>
    <w:rsid w:val="007E4F63"/>
    <w:rsid w:val="007E54DA"/>
    <w:rsid w:val="007E72D7"/>
    <w:rsid w:val="007F2323"/>
    <w:rsid w:val="00800BFD"/>
    <w:rsid w:val="00806B0F"/>
    <w:rsid w:val="00810323"/>
    <w:rsid w:val="008123E4"/>
    <w:rsid w:val="008129BF"/>
    <w:rsid w:val="00813C78"/>
    <w:rsid w:val="008170BE"/>
    <w:rsid w:val="00824A04"/>
    <w:rsid w:val="00835EBD"/>
    <w:rsid w:val="00836CBC"/>
    <w:rsid w:val="00837FBC"/>
    <w:rsid w:val="008403D8"/>
    <w:rsid w:val="008410E4"/>
    <w:rsid w:val="00841F45"/>
    <w:rsid w:val="0086121F"/>
    <w:rsid w:val="00861D9D"/>
    <w:rsid w:val="008620C0"/>
    <w:rsid w:val="00863F50"/>
    <w:rsid w:val="00867A91"/>
    <w:rsid w:val="00872312"/>
    <w:rsid w:val="00880CBA"/>
    <w:rsid w:val="008840C1"/>
    <w:rsid w:val="00895C69"/>
    <w:rsid w:val="008B3F03"/>
    <w:rsid w:val="008B4180"/>
    <w:rsid w:val="008B5A44"/>
    <w:rsid w:val="008B5D9E"/>
    <w:rsid w:val="008C606E"/>
    <w:rsid w:val="008D42DF"/>
    <w:rsid w:val="008E7DE3"/>
    <w:rsid w:val="008F1811"/>
    <w:rsid w:val="008F3DAF"/>
    <w:rsid w:val="008F7768"/>
    <w:rsid w:val="0090358B"/>
    <w:rsid w:val="009149DB"/>
    <w:rsid w:val="00916AA8"/>
    <w:rsid w:val="00916B4D"/>
    <w:rsid w:val="00916F1B"/>
    <w:rsid w:val="009224B0"/>
    <w:rsid w:val="009321DF"/>
    <w:rsid w:val="0093238D"/>
    <w:rsid w:val="00935B9B"/>
    <w:rsid w:val="00936F5B"/>
    <w:rsid w:val="009400F7"/>
    <w:rsid w:val="009539C1"/>
    <w:rsid w:val="00953BD8"/>
    <w:rsid w:val="00956960"/>
    <w:rsid w:val="0096162A"/>
    <w:rsid w:val="0096690A"/>
    <w:rsid w:val="00966A38"/>
    <w:rsid w:val="009708E6"/>
    <w:rsid w:val="00972A72"/>
    <w:rsid w:val="00974E68"/>
    <w:rsid w:val="00976D7B"/>
    <w:rsid w:val="00980CB5"/>
    <w:rsid w:val="009812A1"/>
    <w:rsid w:val="00981860"/>
    <w:rsid w:val="00985656"/>
    <w:rsid w:val="009869DA"/>
    <w:rsid w:val="00987D7A"/>
    <w:rsid w:val="00990611"/>
    <w:rsid w:val="00990922"/>
    <w:rsid w:val="009A6021"/>
    <w:rsid w:val="009C0342"/>
    <w:rsid w:val="009C2109"/>
    <w:rsid w:val="009C2EFE"/>
    <w:rsid w:val="009C43FF"/>
    <w:rsid w:val="009C4A0A"/>
    <w:rsid w:val="009D32D6"/>
    <w:rsid w:val="009D356B"/>
    <w:rsid w:val="009D3C1B"/>
    <w:rsid w:val="009E180D"/>
    <w:rsid w:val="009F01EB"/>
    <w:rsid w:val="009F1D6A"/>
    <w:rsid w:val="009F4B09"/>
    <w:rsid w:val="009F5013"/>
    <w:rsid w:val="009F5E2E"/>
    <w:rsid w:val="00A00182"/>
    <w:rsid w:val="00A014DC"/>
    <w:rsid w:val="00A019B4"/>
    <w:rsid w:val="00A102F6"/>
    <w:rsid w:val="00A223EA"/>
    <w:rsid w:val="00A230FA"/>
    <w:rsid w:val="00A27B24"/>
    <w:rsid w:val="00A3191B"/>
    <w:rsid w:val="00A31D91"/>
    <w:rsid w:val="00A32FEA"/>
    <w:rsid w:val="00A33BAB"/>
    <w:rsid w:val="00A35EAF"/>
    <w:rsid w:val="00A4386A"/>
    <w:rsid w:val="00A570F2"/>
    <w:rsid w:val="00A5740E"/>
    <w:rsid w:val="00A64F12"/>
    <w:rsid w:val="00A65E60"/>
    <w:rsid w:val="00A70E09"/>
    <w:rsid w:val="00A71E42"/>
    <w:rsid w:val="00A72AD9"/>
    <w:rsid w:val="00A77475"/>
    <w:rsid w:val="00A80843"/>
    <w:rsid w:val="00A80ECA"/>
    <w:rsid w:val="00A8590E"/>
    <w:rsid w:val="00A86730"/>
    <w:rsid w:val="00A915C7"/>
    <w:rsid w:val="00AA2747"/>
    <w:rsid w:val="00AA3DB1"/>
    <w:rsid w:val="00AB000F"/>
    <w:rsid w:val="00AB0947"/>
    <w:rsid w:val="00AB4392"/>
    <w:rsid w:val="00AB6F3F"/>
    <w:rsid w:val="00AC3CD6"/>
    <w:rsid w:val="00AC5863"/>
    <w:rsid w:val="00AC634E"/>
    <w:rsid w:val="00AD2787"/>
    <w:rsid w:val="00AD458E"/>
    <w:rsid w:val="00AF3949"/>
    <w:rsid w:val="00B02F03"/>
    <w:rsid w:val="00B031BA"/>
    <w:rsid w:val="00B04BCB"/>
    <w:rsid w:val="00B162BB"/>
    <w:rsid w:val="00B2022C"/>
    <w:rsid w:val="00B21991"/>
    <w:rsid w:val="00B25C7D"/>
    <w:rsid w:val="00B26BAF"/>
    <w:rsid w:val="00B36E20"/>
    <w:rsid w:val="00B40058"/>
    <w:rsid w:val="00B40CF4"/>
    <w:rsid w:val="00B47023"/>
    <w:rsid w:val="00B506D5"/>
    <w:rsid w:val="00B53766"/>
    <w:rsid w:val="00B540AC"/>
    <w:rsid w:val="00B54384"/>
    <w:rsid w:val="00B55EB3"/>
    <w:rsid w:val="00B57ABE"/>
    <w:rsid w:val="00B66FAD"/>
    <w:rsid w:val="00B6736F"/>
    <w:rsid w:val="00B74BE7"/>
    <w:rsid w:val="00B76FB4"/>
    <w:rsid w:val="00B84323"/>
    <w:rsid w:val="00B94BAE"/>
    <w:rsid w:val="00BA3471"/>
    <w:rsid w:val="00BA3D70"/>
    <w:rsid w:val="00BB0A9C"/>
    <w:rsid w:val="00BB13BA"/>
    <w:rsid w:val="00BB1BB6"/>
    <w:rsid w:val="00BB4592"/>
    <w:rsid w:val="00BB5855"/>
    <w:rsid w:val="00BB6820"/>
    <w:rsid w:val="00BE00B3"/>
    <w:rsid w:val="00BE1F7A"/>
    <w:rsid w:val="00BE5DCD"/>
    <w:rsid w:val="00C02E74"/>
    <w:rsid w:val="00C0359E"/>
    <w:rsid w:val="00C06757"/>
    <w:rsid w:val="00C06AFC"/>
    <w:rsid w:val="00C10E73"/>
    <w:rsid w:val="00C23B19"/>
    <w:rsid w:val="00C2406D"/>
    <w:rsid w:val="00C26149"/>
    <w:rsid w:val="00C31FD4"/>
    <w:rsid w:val="00C32EC6"/>
    <w:rsid w:val="00C3581F"/>
    <w:rsid w:val="00C35B06"/>
    <w:rsid w:val="00C3737A"/>
    <w:rsid w:val="00C45BA0"/>
    <w:rsid w:val="00C507A5"/>
    <w:rsid w:val="00C53565"/>
    <w:rsid w:val="00C55F0F"/>
    <w:rsid w:val="00C600C2"/>
    <w:rsid w:val="00C6517D"/>
    <w:rsid w:val="00C666E4"/>
    <w:rsid w:val="00C66B27"/>
    <w:rsid w:val="00C7146A"/>
    <w:rsid w:val="00C722E8"/>
    <w:rsid w:val="00C73D6C"/>
    <w:rsid w:val="00C83CA1"/>
    <w:rsid w:val="00C8545D"/>
    <w:rsid w:val="00C87A81"/>
    <w:rsid w:val="00C92E04"/>
    <w:rsid w:val="00C940E3"/>
    <w:rsid w:val="00C9540B"/>
    <w:rsid w:val="00C95700"/>
    <w:rsid w:val="00CA66EA"/>
    <w:rsid w:val="00CA7C8B"/>
    <w:rsid w:val="00CB2680"/>
    <w:rsid w:val="00CB7263"/>
    <w:rsid w:val="00CB7D3E"/>
    <w:rsid w:val="00CC5819"/>
    <w:rsid w:val="00CD1E9C"/>
    <w:rsid w:val="00CE0500"/>
    <w:rsid w:val="00CF7768"/>
    <w:rsid w:val="00D00680"/>
    <w:rsid w:val="00D02438"/>
    <w:rsid w:val="00D05BBC"/>
    <w:rsid w:val="00D0636F"/>
    <w:rsid w:val="00D113E7"/>
    <w:rsid w:val="00D1458B"/>
    <w:rsid w:val="00D17FAC"/>
    <w:rsid w:val="00D26AAB"/>
    <w:rsid w:val="00D26BA4"/>
    <w:rsid w:val="00D27A82"/>
    <w:rsid w:val="00D3278D"/>
    <w:rsid w:val="00D33B32"/>
    <w:rsid w:val="00D34998"/>
    <w:rsid w:val="00D35AD2"/>
    <w:rsid w:val="00D418A4"/>
    <w:rsid w:val="00D41DA6"/>
    <w:rsid w:val="00D50B38"/>
    <w:rsid w:val="00D53CE9"/>
    <w:rsid w:val="00D54DB2"/>
    <w:rsid w:val="00D56D5F"/>
    <w:rsid w:val="00D75844"/>
    <w:rsid w:val="00D76FB2"/>
    <w:rsid w:val="00D809CC"/>
    <w:rsid w:val="00D82153"/>
    <w:rsid w:val="00D83A65"/>
    <w:rsid w:val="00D8424A"/>
    <w:rsid w:val="00D85B0F"/>
    <w:rsid w:val="00D9038D"/>
    <w:rsid w:val="00D96049"/>
    <w:rsid w:val="00DA392E"/>
    <w:rsid w:val="00DB3607"/>
    <w:rsid w:val="00DB5E9B"/>
    <w:rsid w:val="00DB6865"/>
    <w:rsid w:val="00DD1C7F"/>
    <w:rsid w:val="00DD2725"/>
    <w:rsid w:val="00DE52C1"/>
    <w:rsid w:val="00DF1D0F"/>
    <w:rsid w:val="00DF1FB1"/>
    <w:rsid w:val="00DF6585"/>
    <w:rsid w:val="00E03E28"/>
    <w:rsid w:val="00E07D45"/>
    <w:rsid w:val="00E10014"/>
    <w:rsid w:val="00E10E0E"/>
    <w:rsid w:val="00E11B8F"/>
    <w:rsid w:val="00E13505"/>
    <w:rsid w:val="00E1404F"/>
    <w:rsid w:val="00E1463E"/>
    <w:rsid w:val="00E15580"/>
    <w:rsid w:val="00E2125D"/>
    <w:rsid w:val="00E21C34"/>
    <w:rsid w:val="00E23FA6"/>
    <w:rsid w:val="00E35ADE"/>
    <w:rsid w:val="00E430DA"/>
    <w:rsid w:val="00E43829"/>
    <w:rsid w:val="00E471DA"/>
    <w:rsid w:val="00E53678"/>
    <w:rsid w:val="00E55F04"/>
    <w:rsid w:val="00E560DC"/>
    <w:rsid w:val="00E62C30"/>
    <w:rsid w:val="00E70838"/>
    <w:rsid w:val="00E713EA"/>
    <w:rsid w:val="00E74C25"/>
    <w:rsid w:val="00E75AB3"/>
    <w:rsid w:val="00E87587"/>
    <w:rsid w:val="00E8768E"/>
    <w:rsid w:val="00E90661"/>
    <w:rsid w:val="00E939D7"/>
    <w:rsid w:val="00E97131"/>
    <w:rsid w:val="00EA30B1"/>
    <w:rsid w:val="00EA5CA1"/>
    <w:rsid w:val="00EA6D72"/>
    <w:rsid w:val="00EB2390"/>
    <w:rsid w:val="00EB6D51"/>
    <w:rsid w:val="00EB6E2B"/>
    <w:rsid w:val="00EC0314"/>
    <w:rsid w:val="00EC7CDC"/>
    <w:rsid w:val="00ED1AFD"/>
    <w:rsid w:val="00ED62AF"/>
    <w:rsid w:val="00EE4F16"/>
    <w:rsid w:val="00EE55A6"/>
    <w:rsid w:val="00EF6488"/>
    <w:rsid w:val="00F026E6"/>
    <w:rsid w:val="00F02FE6"/>
    <w:rsid w:val="00F053A6"/>
    <w:rsid w:val="00F06E4E"/>
    <w:rsid w:val="00F15C69"/>
    <w:rsid w:val="00F17104"/>
    <w:rsid w:val="00F2182A"/>
    <w:rsid w:val="00F26346"/>
    <w:rsid w:val="00F2777F"/>
    <w:rsid w:val="00F325EB"/>
    <w:rsid w:val="00F32945"/>
    <w:rsid w:val="00F34F6E"/>
    <w:rsid w:val="00F411F1"/>
    <w:rsid w:val="00F4173F"/>
    <w:rsid w:val="00F42571"/>
    <w:rsid w:val="00F42D10"/>
    <w:rsid w:val="00F539E3"/>
    <w:rsid w:val="00F54B18"/>
    <w:rsid w:val="00F6062D"/>
    <w:rsid w:val="00F75CB7"/>
    <w:rsid w:val="00F77A76"/>
    <w:rsid w:val="00F83D83"/>
    <w:rsid w:val="00F84658"/>
    <w:rsid w:val="00F908E3"/>
    <w:rsid w:val="00F918F5"/>
    <w:rsid w:val="00F96296"/>
    <w:rsid w:val="00F96958"/>
    <w:rsid w:val="00F97F19"/>
    <w:rsid w:val="00FA0C71"/>
    <w:rsid w:val="00FA1DCF"/>
    <w:rsid w:val="00FA3468"/>
    <w:rsid w:val="00FA36BC"/>
    <w:rsid w:val="00FB5A27"/>
    <w:rsid w:val="00FB6594"/>
    <w:rsid w:val="00FC04AA"/>
    <w:rsid w:val="00FC733B"/>
    <w:rsid w:val="00FC7ABC"/>
    <w:rsid w:val="00FD092F"/>
    <w:rsid w:val="00FD1B0A"/>
    <w:rsid w:val="00FE0032"/>
    <w:rsid w:val="00FE1323"/>
    <w:rsid w:val="00FE1CE4"/>
    <w:rsid w:val="00FE6485"/>
    <w:rsid w:val="00FE6B52"/>
    <w:rsid w:val="00FF2C69"/>
    <w:rsid w:val="00FF4224"/>
    <w:rsid w:val="00FF58DE"/>
    <w:rsid w:val="00FF66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2A680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0"/>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70838"/>
    <w:pPr>
      <w:suppressAutoHyphens/>
      <w:spacing w:line="480" w:lineRule="auto"/>
    </w:pPr>
    <w:rPr>
      <w:sz w:val="24"/>
      <w:szCs w:val="24"/>
    </w:rPr>
  </w:style>
  <w:style w:type="paragraph" w:styleId="Heading1">
    <w:name w:val="heading 1"/>
    <w:basedOn w:val="Normal"/>
    <w:next w:val="BodyText"/>
    <w:link w:val="Heading1Char"/>
    <w:uiPriority w:val="9"/>
    <w:qFormat/>
    <w:rsid w:val="00747BE3"/>
    <w:pPr>
      <w:keepNext/>
      <w:keepLines/>
      <w:jc w:val="center"/>
      <w:outlineLvl w:val="0"/>
    </w:pPr>
    <w:rPr>
      <w:rFonts w:cs="Arial"/>
      <w:bCs/>
      <w:szCs w:val="32"/>
    </w:rPr>
  </w:style>
  <w:style w:type="paragraph" w:styleId="Heading2">
    <w:name w:val="heading 2"/>
    <w:basedOn w:val="Normal"/>
    <w:next w:val="BodyText"/>
    <w:qFormat/>
    <w:rsid w:val="00747BE3"/>
    <w:pPr>
      <w:keepNext/>
      <w:keepLines/>
      <w:jc w:val="center"/>
      <w:outlineLvl w:val="1"/>
    </w:pPr>
    <w:rPr>
      <w:rFonts w:cs="Arial"/>
      <w:bCs/>
      <w:i/>
      <w:iCs/>
      <w:szCs w:val="28"/>
    </w:rPr>
  </w:style>
  <w:style w:type="paragraph" w:styleId="Heading3">
    <w:name w:val="heading 3"/>
    <w:basedOn w:val="Normal"/>
    <w:next w:val="BodyText"/>
    <w:qFormat/>
    <w:rsid w:val="00747BE3"/>
    <w:pPr>
      <w:keepNext/>
      <w:keepLines/>
      <w:outlineLvl w:val="2"/>
    </w:pPr>
    <w:rPr>
      <w:rFonts w:cs="Arial"/>
      <w:bCs/>
      <w:i/>
      <w:szCs w:val="26"/>
    </w:rPr>
  </w:style>
  <w:style w:type="paragraph" w:styleId="Heading4">
    <w:name w:val="heading 4"/>
    <w:basedOn w:val="BodyText"/>
    <w:next w:val="BodyText"/>
    <w:qFormat/>
    <w:rsid w:val="00250E85"/>
    <w:pPr>
      <w:outlineLvl w:val="3"/>
    </w:pPr>
    <w:rPr>
      <w:b/>
      <w:i/>
      <w:iCs/>
    </w:rPr>
  </w:style>
  <w:style w:type="paragraph" w:styleId="Heading5">
    <w:name w:val="heading 5"/>
    <w:basedOn w:val="Normal"/>
    <w:next w:val="Heading1"/>
    <w:qFormat/>
    <w:rsid w:val="00747BE3"/>
    <w:pPr>
      <w:keepNext/>
      <w:keepLines/>
      <w:jc w:val="center"/>
      <w:outlineLvl w:val="4"/>
    </w:pPr>
    <w:rPr>
      <w:bCs/>
      <w:iCs/>
      <w:caps/>
      <w:szCs w:val="26"/>
    </w:rPr>
  </w:style>
  <w:style w:type="paragraph" w:styleId="Heading9">
    <w:name w:val="heading 9"/>
    <w:basedOn w:val="Normal"/>
    <w:next w:val="Normal"/>
    <w:qFormat/>
    <w:rsid w:val="00747BE3"/>
    <w:pPr>
      <w:keepNext/>
      <w:keepLines/>
      <w:pageBreakBefore/>
      <w:suppressAutoHyphens w:val="0"/>
      <w:jc w:val="center"/>
      <w:outlineLvl w:val="8"/>
    </w:pPr>
    <w:rPr>
      <w:rFonts w:cs="Arial"/>
      <w:cap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47BE3"/>
    <w:pPr>
      <w:tabs>
        <w:tab w:val="right" w:pos="8640"/>
        <w:tab w:val="right" w:pos="9360"/>
      </w:tabs>
    </w:pPr>
  </w:style>
  <w:style w:type="character" w:styleId="HTMLKeyboard">
    <w:name w:val="HTML Keyboard"/>
    <w:basedOn w:val="DefaultParagraphFont"/>
    <w:rsid w:val="00747BE3"/>
    <w:rPr>
      <w:rFonts w:ascii="Courier New" w:hAnsi="Courier New"/>
      <w:sz w:val="20"/>
      <w:szCs w:val="20"/>
    </w:rPr>
  </w:style>
  <w:style w:type="character" w:styleId="PageNumber">
    <w:name w:val="page number"/>
    <w:basedOn w:val="DefaultParagraphFont"/>
    <w:rsid w:val="00747BE3"/>
  </w:style>
  <w:style w:type="character" w:styleId="LineNumber">
    <w:name w:val="line number"/>
    <w:basedOn w:val="DefaultParagraphFont"/>
    <w:rsid w:val="00781B23"/>
  </w:style>
  <w:style w:type="paragraph" w:styleId="Footer">
    <w:name w:val="footer"/>
    <w:basedOn w:val="Normal"/>
    <w:rsid w:val="00747BE3"/>
    <w:pPr>
      <w:tabs>
        <w:tab w:val="center" w:pos="4320"/>
        <w:tab w:val="right" w:pos="8640"/>
      </w:tabs>
    </w:pPr>
  </w:style>
  <w:style w:type="paragraph" w:styleId="BodyText">
    <w:name w:val="Body Text"/>
    <w:basedOn w:val="Normal"/>
    <w:link w:val="BodyTextChar"/>
    <w:rsid w:val="00747BE3"/>
    <w:pPr>
      <w:ind w:firstLine="720"/>
    </w:pPr>
  </w:style>
  <w:style w:type="paragraph" w:styleId="Caption">
    <w:name w:val="caption"/>
    <w:basedOn w:val="Normal"/>
    <w:next w:val="Normal"/>
    <w:qFormat/>
    <w:rsid w:val="00747BE3"/>
    <w:pPr>
      <w:keepLines/>
      <w:suppressAutoHyphens w:val="0"/>
    </w:pPr>
    <w:rPr>
      <w:bCs/>
      <w:i/>
      <w:szCs w:val="20"/>
    </w:rPr>
  </w:style>
  <w:style w:type="paragraph" w:styleId="Title">
    <w:name w:val="Title"/>
    <w:basedOn w:val="Normal"/>
    <w:qFormat/>
    <w:rsid w:val="00747BE3"/>
    <w:pPr>
      <w:spacing w:before="3200"/>
      <w:ind w:left="1440" w:right="1440"/>
      <w:jc w:val="center"/>
      <w:outlineLvl w:val="0"/>
    </w:pPr>
    <w:rPr>
      <w:rFonts w:cs="Arial"/>
      <w:bCs/>
      <w:kern w:val="28"/>
      <w:szCs w:val="32"/>
    </w:rPr>
  </w:style>
  <w:style w:type="paragraph" w:customStyle="1" w:styleId="AuthorList">
    <w:name w:val="Author List"/>
    <w:basedOn w:val="Normal"/>
    <w:rsid w:val="00747BE3"/>
    <w:pPr>
      <w:keepLines/>
      <w:jc w:val="center"/>
    </w:pPr>
  </w:style>
  <w:style w:type="paragraph" w:customStyle="1" w:styleId="AbstractText">
    <w:name w:val="Abstract Text"/>
    <w:basedOn w:val="Normal"/>
    <w:rsid w:val="00747BE3"/>
  </w:style>
  <w:style w:type="paragraph" w:customStyle="1" w:styleId="TableHeading">
    <w:name w:val="Table Heading"/>
    <w:basedOn w:val="Normal"/>
    <w:next w:val="Normal"/>
    <w:rsid w:val="00747BE3"/>
    <w:pPr>
      <w:keepNext/>
      <w:keepLines/>
    </w:pPr>
    <w:rPr>
      <w:i/>
    </w:rPr>
  </w:style>
  <w:style w:type="paragraph" w:customStyle="1" w:styleId="TableNumber">
    <w:name w:val="Table Number"/>
    <w:basedOn w:val="Normal"/>
    <w:next w:val="TableHeading"/>
    <w:rsid w:val="00747BE3"/>
    <w:pPr>
      <w:keepNext/>
      <w:keepLines/>
    </w:pPr>
  </w:style>
  <w:style w:type="paragraph" w:customStyle="1" w:styleId="References">
    <w:name w:val="References"/>
    <w:basedOn w:val="Normal"/>
    <w:rsid w:val="00747BE3"/>
    <w:pPr>
      <w:ind w:left="720" w:hanging="720"/>
    </w:pPr>
  </w:style>
  <w:style w:type="character" w:styleId="CommentReference">
    <w:name w:val="annotation reference"/>
    <w:basedOn w:val="DefaultParagraphFont"/>
    <w:uiPriority w:val="99"/>
    <w:semiHidden/>
    <w:rsid w:val="00747BE3"/>
    <w:rPr>
      <w:sz w:val="16"/>
      <w:szCs w:val="16"/>
    </w:rPr>
  </w:style>
  <w:style w:type="paragraph" w:styleId="BodyTextIndent">
    <w:name w:val="Body Text Indent"/>
    <w:basedOn w:val="Normal"/>
    <w:rsid w:val="00747BE3"/>
    <w:pPr>
      <w:ind w:left="720"/>
    </w:pPr>
  </w:style>
  <w:style w:type="paragraph" w:styleId="BlockText">
    <w:name w:val="Block Text"/>
    <w:basedOn w:val="Normal"/>
    <w:rsid w:val="00747BE3"/>
    <w:pPr>
      <w:ind w:left="720"/>
    </w:pPr>
  </w:style>
  <w:style w:type="paragraph" w:styleId="CommentText">
    <w:name w:val="annotation text"/>
    <w:basedOn w:val="Normal"/>
    <w:link w:val="CommentTextChar"/>
    <w:uiPriority w:val="99"/>
    <w:semiHidden/>
    <w:rsid w:val="00747BE3"/>
    <w:rPr>
      <w:sz w:val="20"/>
      <w:szCs w:val="20"/>
    </w:rPr>
  </w:style>
  <w:style w:type="character" w:customStyle="1" w:styleId="Heading1Char">
    <w:name w:val="Heading 1 Char"/>
    <w:basedOn w:val="DefaultParagraphFont"/>
    <w:link w:val="Heading1"/>
    <w:uiPriority w:val="9"/>
    <w:rsid w:val="00C3581F"/>
    <w:rPr>
      <w:rFonts w:cs="Arial"/>
      <w:bCs/>
      <w:sz w:val="24"/>
      <w:szCs w:val="32"/>
    </w:rPr>
  </w:style>
  <w:style w:type="paragraph" w:styleId="BalloonText">
    <w:name w:val="Balloon Text"/>
    <w:basedOn w:val="Normal"/>
    <w:link w:val="BalloonTextChar"/>
    <w:rsid w:val="00C3581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C3581F"/>
    <w:rPr>
      <w:rFonts w:ascii="Lucida Grande" w:hAnsi="Lucida Grande" w:cs="Lucida Grande"/>
      <w:sz w:val="18"/>
      <w:szCs w:val="18"/>
    </w:rPr>
  </w:style>
  <w:style w:type="paragraph" w:styleId="CommentSubject">
    <w:name w:val="annotation subject"/>
    <w:basedOn w:val="CommentText"/>
    <w:next w:val="CommentText"/>
    <w:link w:val="CommentSubjectChar"/>
    <w:rsid w:val="00AC3CD6"/>
    <w:pPr>
      <w:spacing w:line="240" w:lineRule="auto"/>
    </w:pPr>
    <w:rPr>
      <w:b/>
      <w:bCs/>
    </w:rPr>
  </w:style>
  <w:style w:type="character" w:customStyle="1" w:styleId="CommentTextChar">
    <w:name w:val="Comment Text Char"/>
    <w:basedOn w:val="DefaultParagraphFont"/>
    <w:link w:val="CommentText"/>
    <w:uiPriority w:val="99"/>
    <w:semiHidden/>
    <w:rsid w:val="00AC3CD6"/>
  </w:style>
  <w:style w:type="character" w:customStyle="1" w:styleId="CommentSubjectChar">
    <w:name w:val="Comment Subject Char"/>
    <w:basedOn w:val="CommentTextChar"/>
    <w:link w:val="CommentSubject"/>
    <w:rsid w:val="00AC3CD6"/>
    <w:rPr>
      <w:b/>
      <w:bCs/>
    </w:rPr>
  </w:style>
  <w:style w:type="table" w:styleId="LightShading">
    <w:name w:val="Light Shading"/>
    <w:basedOn w:val="TableNormal"/>
    <w:uiPriority w:val="60"/>
    <w:rsid w:val="00D33B32"/>
    <w:rPr>
      <w:rFonts w:asciiTheme="minorHAnsi" w:eastAsiaTheme="minorEastAsia" w:hAnsiTheme="minorHAnsi" w:cstheme="minorBidi"/>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8F7768"/>
    <w:pPr>
      <w:suppressAutoHyphens w:val="0"/>
      <w:spacing w:before="100" w:beforeAutospacing="1" w:after="100" w:afterAutospacing="1" w:line="240" w:lineRule="auto"/>
    </w:pPr>
    <w:rPr>
      <w:rFonts w:ascii="Times" w:eastAsiaTheme="minorEastAsia" w:hAnsi="Times"/>
      <w:sz w:val="20"/>
      <w:szCs w:val="20"/>
    </w:rPr>
  </w:style>
  <w:style w:type="character" w:customStyle="1" w:styleId="reference-text">
    <w:name w:val="reference-text"/>
    <w:basedOn w:val="DefaultParagraphFont"/>
    <w:rsid w:val="009C2EFE"/>
  </w:style>
  <w:style w:type="character" w:styleId="HTMLCite">
    <w:name w:val="HTML Cite"/>
    <w:basedOn w:val="DefaultParagraphFont"/>
    <w:uiPriority w:val="99"/>
    <w:semiHidden/>
    <w:unhideWhenUsed/>
    <w:rsid w:val="009C2EFE"/>
    <w:rPr>
      <w:i/>
      <w:iCs/>
    </w:rPr>
  </w:style>
  <w:style w:type="character" w:styleId="Hyperlink">
    <w:name w:val="Hyperlink"/>
    <w:basedOn w:val="DefaultParagraphFont"/>
    <w:uiPriority w:val="99"/>
    <w:unhideWhenUsed/>
    <w:rsid w:val="009C2EFE"/>
    <w:rPr>
      <w:color w:val="0000FF"/>
      <w:u w:val="single"/>
    </w:rPr>
  </w:style>
  <w:style w:type="table" w:styleId="TableGrid">
    <w:name w:val="Table Grid"/>
    <w:basedOn w:val="TableNormal"/>
    <w:rsid w:val="001311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semiHidden/>
    <w:rsid w:val="00FD092F"/>
    <w:rPr>
      <w:sz w:val="24"/>
      <w:szCs w:val="24"/>
    </w:rPr>
  </w:style>
  <w:style w:type="character" w:customStyle="1" w:styleId="BodyTextChar">
    <w:name w:val="Body Text Char"/>
    <w:basedOn w:val="DefaultParagraphFont"/>
    <w:link w:val="BodyText"/>
    <w:rsid w:val="005158FF"/>
    <w:rPr>
      <w:sz w:val="24"/>
      <w:szCs w:val="24"/>
    </w:rPr>
  </w:style>
  <w:style w:type="paragraph" w:styleId="FootnoteText">
    <w:name w:val="footnote text"/>
    <w:basedOn w:val="Normal"/>
    <w:link w:val="FootnoteTextChar"/>
    <w:unhideWhenUsed/>
    <w:rsid w:val="0013302B"/>
    <w:pPr>
      <w:spacing w:line="240" w:lineRule="auto"/>
    </w:pPr>
  </w:style>
  <w:style w:type="character" w:customStyle="1" w:styleId="FootnoteTextChar">
    <w:name w:val="Footnote Text Char"/>
    <w:basedOn w:val="DefaultParagraphFont"/>
    <w:link w:val="FootnoteText"/>
    <w:rsid w:val="0013302B"/>
    <w:rPr>
      <w:sz w:val="24"/>
      <w:szCs w:val="24"/>
    </w:rPr>
  </w:style>
  <w:style w:type="character" w:styleId="FootnoteReference">
    <w:name w:val="footnote reference"/>
    <w:basedOn w:val="DefaultParagraphFont"/>
    <w:unhideWhenUsed/>
    <w:rsid w:val="0013302B"/>
    <w:rPr>
      <w:vertAlign w:val="superscript"/>
    </w:rPr>
  </w:style>
  <w:style w:type="paragraph" w:styleId="ListParagraph">
    <w:name w:val="List Paragraph"/>
    <w:basedOn w:val="Normal"/>
    <w:uiPriority w:val="72"/>
    <w:rsid w:val="006F6DB2"/>
    <w:pPr>
      <w:ind w:left="720"/>
      <w:contextualSpacing/>
    </w:pPr>
  </w:style>
  <w:style w:type="paragraph" w:customStyle="1" w:styleId="EndNoteBibliography">
    <w:name w:val="EndNote Bibliography"/>
    <w:basedOn w:val="Normal"/>
    <w:link w:val="EndNoteBibliographyChar"/>
    <w:rsid w:val="00A65E60"/>
    <w:pPr>
      <w:suppressAutoHyphens w:val="0"/>
      <w:spacing w:after="160" w:line="240" w:lineRule="auto"/>
    </w:pPr>
    <w:rPr>
      <w:rFonts w:ascii="Aptos" w:eastAsiaTheme="minorEastAsia" w:hAnsi="Aptos" w:cstheme="minorBidi"/>
      <w:kern w:val="2"/>
      <w:lang w:val="en-KR" w:eastAsia="ko-KR"/>
      <w14:ligatures w14:val="standardContextual"/>
    </w:rPr>
  </w:style>
  <w:style w:type="character" w:customStyle="1" w:styleId="EndNoteBibliographyChar">
    <w:name w:val="EndNote Bibliography Char"/>
    <w:basedOn w:val="DefaultParagraphFont"/>
    <w:link w:val="EndNoteBibliography"/>
    <w:rsid w:val="00A65E60"/>
    <w:rPr>
      <w:rFonts w:ascii="Aptos" w:eastAsiaTheme="minorEastAsia" w:hAnsi="Aptos" w:cstheme="minorBidi"/>
      <w:kern w:val="2"/>
      <w:sz w:val="24"/>
      <w:szCs w:val="24"/>
      <w:lang w:val="en-KR" w:eastAsia="ko-K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75201">
      <w:bodyDiv w:val="1"/>
      <w:marLeft w:val="0"/>
      <w:marRight w:val="0"/>
      <w:marTop w:val="0"/>
      <w:marBottom w:val="0"/>
      <w:divBdr>
        <w:top w:val="none" w:sz="0" w:space="0" w:color="auto"/>
        <w:left w:val="none" w:sz="0" w:space="0" w:color="auto"/>
        <w:bottom w:val="none" w:sz="0" w:space="0" w:color="auto"/>
        <w:right w:val="none" w:sz="0" w:space="0" w:color="auto"/>
      </w:divBdr>
      <w:divsChild>
        <w:div w:id="2019841294">
          <w:marLeft w:val="0"/>
          <w:marRight w:val="0"/>
          <w:marTop w:val="0"/>
          <w:marBottom w:val="0"/>
          <w:divBdr>
            <w:top w:val="none" w:sz="0" w:space="0" w:color="auto"/>
            <w:left w:val="none" w:sz="0" w:space="0" w:color="auto"/>
            <w:bottom w:val="none" w:sz="0" w:space="0" w:color="auto"/>
            <w:right w:val="none" w:sz="0" w:space="0" w:color="auto"/>
          </w:divBdr>
        </w:div>
      </w:divsChild>
    </w:div>
    <w:div w:id="511267455">
      <w:bodyDiv w:val="1"/>
      <w:marLeft w:val="0"/>
      <w:marRight w:val="0"/>
      <w:marTop w:val="0"/>
      <w:marBottom w:val="0"/>
      <w:divBdr>
        <w:top w:val="none" w:sz="0" w:space="0" w:color="auto"/>
        <w:left w:val="none" w:sz="0" w:space="0" w:color="auto"/>
        <w:bottom w:val="none" w:sz="0" w:space="0" w:color="auto"/>
        <w:right w:val="none" w:sz="0" w:space="0" w:color="auto"/>
      </w:divBdr>
      <w:divsChild>
        <w:div w:id="156656918">
          <w:marLeft w:val="0"/>
          <w:marRight w:val="0"/>
          <w:marTop w:val="0"/>
          <w:marBottom w:val="0"/>
          <w:divBdr>
            <w:top w:val="none" w:sz="0" w:space="0" w:color="auto"/>
            <w:left w:val="none" w:sz="0" w:space="0" w:color="auto"/>
            <w:bottom w:val="none" w:sz="0" w:space="0" w:color="auto"/>
            <w:right w:val="none" w:sz="0" w:space="0" w:color="auto"/>
          </w:divBdr>
        </w:div>
      </w:divsChild>
    </w:div>
    <w:div w:id="1107038727">
      <w:bodyDiv w:val="1"/>
      <w:marLeft w:val="0"/>
      <w:marRight w:val="0"/>
      <w:marTop w:val="0"/>
      <w:marBottom w:val="0"/>
      <w:divBdr>
        <w:top w:val="none" w:sz="0" w:space="0" w:color="auto"/>
        <w:left w:val="none" w:sz="0" w:space="0" w:color="auto"/>
        <w:bottom w:val="none" w:sz="0" w:space="0" w:color="auto"/>
        <w:right w:val="none" w:sz="0" w:space="0" w:color="auto"/>
      </w:divBdr>
      <w:divsChild>
        <w:div w:id="1306397995">
          <w:marLeft w:val="0"/>
          <w:marRight w:val="0"/>
          <w:marTop w:val="0"/>
          <w:marBottom w:val="0"/>
          <w:divBdr>
            <w:top w:val="none" w:sz="0" w:space="0" w:color="auto"/>
            <w:left w:val="none" w:sz="0" w:space="0" w:color="auto"/>
            <w:bottom w:val="none" w:sz="0" w:space="0" w:color="auto"/>
            <w:right w:val="none" w:sz="0" w:space="0" w:color="auto"/>
          </w:divBdr>
        </w:div>
      </w:divsChild>
    </w:div>
    <w:div w:id="1128087982">
      <w:bodyDiv w:val="1"/>
      <w:marLeft w:val="0"/>
      <w:marRight w:val="0"/>
      <w:marTop w:val="0"/>
      <w:marBottom w:val="0"/>
      <w:divBdr>
        <w:top w:val="none" w:sz="0" w:space="0" w:color="auto"/>
        <w:left w:val="none" w:sz="0" w:space="0" w:color="auto"/>
        <w:bottom w:val="none" w:sz="0" w:space="0" w:color="auto"/>
        <w:right w:val="none" w:sz="0" w:space="0" w:color="auto"/>
      </w:divBdr>
      <w:divsChild>
        <w:div w:id="533425645">
          <w:marLeft w:val="0"/>
          <w:marRight w:val="0"/>
          <w:marTop w:val="0"/>
          <w:marBottom w:val="0"/>
          <w:divBdr>
            <w:top w:val="none" w:sz="0" w:space="0" w:color="auto"/>
            <w:left w:val="none" w:sz="0" w:space="0" w:color="auto"/>
            <w:bottom w:val="none" w:sz="0" w:space="0" w:color="auto"/>
            <w:right w:val="none" w:sz="0" w:space="0" w:color="auto"/>
          </w:divBdr>
        </w:div>
      </w:divsChild>
    </w:div>
    <w:div w:id="1188788642">
      <w:bodyDiv w:val="1"/>
      <w:marLeft w:val="0"/>
      <w:marRight w:val="0"/>
      <w:marTop w:val="0"/>
      <w:marBottom w:val="0"/>
      <w:divBdr>
        <w:top w:val="none" w:sz="0" w:space="0" w:color="auto"/>
        <w:left w:val="none" w:sz="0" w:space="0" w:color="auto"/>
        <w:bottom w:val="none" w:sz="0" w:space="0" w:color="auto"/>
        <w:right w:val="none" w:sz="0" w:space="0" w:color="auto"/>
      </w:divBdr>
      <w:divsChild>
        <w:div w:id="839270199">
          <w:marLeft w:val="0"/>
          <w:marRight w:val="0"/>
          <w:marTop w:val="0"/>
          <w:marBottom w:val="0"/>
          <w:divBdr>
            <w:top w:val="none" w:sz="0" w:space="0" w:color="auto"/>
            <w:left w:val="none" w:sz="0" w:space="0" w:color="auto"/>
            <w:bottom w:val="none" w:sz="0" w:space="0" w:color="auto"/>
            <w:right w:val="none" w:sz="0" w:space="0" w:color="auto"/>
          </w:divBdr>
        </w:div>
      </w:divsChild>
    </w:div>
    <w:div w:id="1600478861">
      <w:bodyDiv w:val="1"/>
      <w:marLeft w:val="0"/>
      <w:marRight w:val="0"/>
      <w:marTop w:val="0"/>
      <w:marBottom w:val="0"/>
      <w:divBdr>
        <w:top w:val="none" w:sz="0" w:space="0" w:color="auto"/>
        <w:left w:val="none" w:sz="0" w:space="0" w:color="auto"/>
        <w:bottom w:val="none" w:sz="0" w:space="0" w:color="auto"/>
        <w:right w:val="none" w:sz="0" w:space="0" w:color="auto"/>
      </w:divBdr>
    </w:div>
    <w:div w:id="1893229691">
      <w:bodyDiv w:val="1"/>
      <w:marLeft w:val="0"/>
      <w:marRight w:val="0"/>
      <w:marTop w:val="0"/>
      <w:marBottom w:val="0"/>
      <w:divBdr>
        <w:top w:val="none" w:sz="0" w:space="0" w:color="auto"/>
        <w:left w:val="none" w:sz="0" w:space="0" w:color="auto"/>
        <w:bottom w:val="none" w:sz="0" w:space="0" w:color="auto"/>
        <w:right w:val="none" w:sz="0" w:space="0" w:color="auto"/>
      </w:divBdr>
      <w:divsChild>
        <w:div w:id="2006391769">
          <w:marLeft w:val="0"/>
          <w:marRight w:val="0"/>
          <w:marTop w:val="0"/>
          <w:marBottom w:val="0"/>
          <w:divBdr>
            <w:top w:val="none" w:sz="0" w:space="0" w:color="auto"/>
            <w:left w:val="none" w:sz="0" w:space="0" w:color="auto"/>
            <w:bottom w:val="none" w:sz="0" w:space="0" w:color="auto"/>
            <w:right w:val="none" w:sz="0" w:space="0" w:color="auto"/>
          </w:divBdr>
        </w:div>
      </w:divsChild>
    </w:div>
    <w:div w:id="2055033995">
      <w:bodyDiv w:val="1"/>
      <w:marLeft w:val="0"/>
      <w:marRight w:val="0"/>
      <w:marTop w:val="0"/>
      <w:marBottom w:val="0"/>
      <w:divBdr>
        <w:top w:val="none" w:sz="0" w:space="0" w:color="auto"/>
        <w:left w:val="none" w:sz="0" w:space="0" w:color="auto"/>
        <w:bottom w:val="none" w:sz="0" w:space="0" w:color="auto"/>
        <w:right w:val="none" w:sz="0" w:space="0" w:color="auto"/>
      </w:divBdr>
      <w:divsChild>
        <w:div w:id="1821842510">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adchae:Desktop:APA6th_lo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12E6B-F6CC-F042-BAA7-478FAB60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Macintosh%20HD:Users:chadchae:Desktop:APA6th_long.dot</Template>
  <TotalTime>234</TotalTime>
  <Pages>40</Pages>
  <Words>8186</Words>
  <Characters>46661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American Psychological Association 5th Edition</vt:lpstr>
    </vt:vector>
  </TitlesOfParts>
  <Company>ISI ResearchSoft</Company>
  <LinksUpToDate>false</LinksUpToDate>
  <CharactersWithSpaces>54738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Psychological Association 5th Edition</dc:title>
  <dc:subject/>
  <dc:creator>Chungil Chae</dc:creator>
  <cp:keywords/>
  <dc:description>American Psychological Association 6th Edition
This wizard will create a document for submission following the guidelines published by The American Psychological Association (APA) 6th Edition (http://www.apastyle.org/).
This wizard is copyright 2010, Thomson Reuters EndNote. All rights reserved.</dc:description>
  <cp:lastModifiedBy>Chad Chae</cp:lastModifiedBy>
  <cp:revision>59</cp:revision>
  <cp:lastPrinted>2017-01-20T18:49:00Z</cp:lastPrinted>
  <dcterms:created xsi:type="dcterms:W3CDTF">2017-04-23T23:15:00Z</dcterms:created>
  <dcterms:modified xsi:type="dcterms:W3CDTF">2024-09-06T00:13:00Z</dcterms:modified>
</cp:coreProperties>
</file>