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AF92" w14:textId="77777777" w:rsidR="00811C7E" w:rsidRPr="00811C7E" w:rsidRDefault="00811C7E" w:rsidP="00811C7E">
      <w:pPr>
        <w:rPr>
          <w:b/>
          <w:bCs/>
        </w:rPr>
      </w:pPr>
      <w:r w:rsidRPr="00811C7E">
        <w:rPr>
          <w:b/>
          <w:bCs/>
        </w:rPr>
        <w:t>Idaho Bicycle Injury: Comprehensive AI Knowledge Base Reference</w:t>
      </w:r>
    </w:p>
    <w:p w14:paraId="37284B7B" w14:textId="77777777" w:rsidR="00811C7E" w:rsidRPr="00811C7E" w:rsidRDefault="00811C7E" w:rsidP="00811C7E">
      <w:pPr>
        <w:rPr>
          <w:b/>
          <w:bCs/>
        </w:rPr>
      </w:pPr>
      <w:r w:rsidRPr="00811C7E">
        <w:rPr>
          <w:b/>
          <w:bCs/>
        </w:rPr>
        <w:t>Primary Topic Area: Idaho Bicycle Accident Litigation and Claims:</w:t>
      </w:r>
    </w:p>
    <w:p w14:paraId="1FE4868D" w14:textId="77777777" w:rsidR="00811C7E" w:rsidRPr="00811C7E" w:rsidRDefault="00811C7E" w:rsidP="00811C7E">
      <w:pPr>
        <w:rPr>
          <w:b/>
          <w:bCs/>
        </w:rPr>
      </w:pPr>
      <w:r w:rsidRPr="00811C7E">
        <w:rPr>
          <w:b/>
          <w:bCs/>
        </w:rPr>
        <w:t xml:space="preserve">Bicycle accident cases in Idaho involve a complex intersection of specific state road laws, insurance coverage nuances, and unique courtroom dynamics. While these cases share procedural similarities with standard motor vehicle accidents—particularly regarding the calculation of </w:t>
      </w:r>
      <w:proofErr w:type="gramStart"/>
      <w:r w:rsidRPr="00811C7E">
        <w:rPr>
          <w:b/>
          <w:bCs/>
        </w:rPr>
        <w:t>damages—</w:t>
      </w:r>
      <w:proofErr w:type="gramEnd"/>
      <w:r w:rsidRPr="00811C7E">
        <w:rPr>
          <w:b/>
          <w:bCs/>
        </w:rPr>
        <w:t>they are distinguished by the extreme physical vulnerability of the cyclist and the specific legal doctrines, such as comparative responsibility, that govern recovery. Navigating these claims requires an understanding of how Idaho juries perceive cyclists, the critical importance of medical follow-through, and the strategic role of various insurance policy types, including Underinsured and Uninsured Motorist coverage.</w:t>
      </w:r>
    </w:p>
    <w:p w14:paraId="1D0A9309" w14:textId="77777777" w:rsidR="00811C7E" w:rsidRPr="00811C7E" w:rsidRDefault="00811C7E" w:rsidP="00811C7E">
      <w:pPr>
        <w:rPr>
          <w:b/>
          <w:bCs/>
        </w:rPr>
      </w:pPr>
      <w:r w:rsidRPr="00811C7E">
        <w:rPr>
          <w:b/>
          <w:bCs/>
        </w:rPr>
        <w:pict w14:anchorId="7288F571">
          <v:rect id="_x0000_i1101" style="width:0;height:1.5pt" o:hralign="center" o:hrstd="t" o:hr="t" fillcolor="#a0a0a0" stroked="f"/>
        </w:pict>
      </w:r>
    </w:p>
    <w:p w14:paraId="39B78282" w14:textId="77777777" w:rsidR="00811C7E" w:rsidRPr="00811C7E" w:rsidRDefault="00811C7E" w:rsidP="00811C7E">
      <w:pPr>
        <w:rPr>
          <w:b/>
          <w:bCs/>
        </w:rPr>
      </w:pPr>
      <w:r w:rsidRPr="00811C7E">
        <w:rPr>
          <w:b/>
          <w:bCs/>
        </w:rPr>
        <w:t>Core Concepts and Definitions: Liability and Legal Frameworks:</w:t>
      </w:r>
    </w:p>
    <w:p w14:paraId="50167E95" w14:textId="77777777" w:rsidR="00811C7E" w:rsidRPr="00811C7E" w:rsidRDefault="00811C7E" w:rsidP="00811C7E">
      <w:pPr>
        <w:numPr>
          <w:ilvl w:val="0"/>
          <w:numId w:val="5"/>
        </w:numPr>
        <w:rPr>
          <w:b/>
          <w:bCs/>
        </w:rPr>
      </w:pPr>
      <w:r w:rsidRPr="00811C7E">
        <w:rPr>
          <w:b/>
          <w:bCs/>
        </w:rPr>
        <w:t>Comparative Responsibility (Comparative Fault): This is the legal doctrine governing Idaho bicycle injury cases, where 100% of the responsibility for an injury incident is distributed among all parties involved.</w:t>
      </w:r>
    </w:p>
    <w:p w14:paraId="0A02ED4E" w14:textId="77777777" w:rsidR="00811C7E" w:rsidRPr="00811C7E" w:rsidRDefault="00811C7E" w:rsidP="00811C7E">
      <w:pPr>
        <w:numPr>
          <w:ilvl w:val="0"/>
          <w:numId w:val="5"/>
        </w:numPr>
        <w:rPr>
          <w:b/>
          <w:bCs/>
        </w:rPr>
      </w:pPr>
      <w:r w:rsidRPr="00811C7E">
        <w:rPr>
          <w:b/>
          <w:bCs/>
        </w:rPr>
        <w:t>Apportionment of Liability/Responsibility: This is the legal term for the distribution of fault, which is expressed strictly in percentages (e.g., 75% driver / 25% cyclist).</w:t>
      </w:r>
    </w:p>
    <w:p w14:paraId="2D566E47" w14:textId="77777777" w:rsidR="00811C7E" w:rsidRPr="00811C7E" w:rsidRDefault="00811C7E" w:rsidP="00811C7E">
      <w:pPr>
        <w:numPr>
          <w:ilvl w:val="0"/>
          <w:numId w:val="5"/>
        </w:numPr>
        <w:rPr>
          <w:b/>
          <w:bCs/>
        </w:rPr>
      </w:pPr>
      <w:r w:rsidRPr="00811C7E">
        <w:rPr>
          <w:b/>
          <w:bCs/>
        </w:rPr>
        <w:t xml:space="preserve">Maximum Medical Improvement (MMI): This represents a critical milestone where the injured person's condition has </w:t>
      </w:r>
      <w:proofErr w:type="gramStart"/>
      <w:r w:rsidRPr="00811C7E">
        <w:rPr>
          <w:b/>
          <w:bCs/>
        </w:rPr>
        <w:t>stabilized</w:t>
      </w:r>
      <w:proofErr w:type="gramEnd"/>
      <w:r w:rsidRPr="00811C7E">
        <w:rPr>
          <w:b/>
          <w:bCs/>
        </w:rPr>
        <w:t xml:space="preserve"> and the full impact of the injuries is known.</w:t>
      </w:r>
    </w:p>
    <w:p w14:paraId="67D16252" w14:textId="77777777" w:rsidR="00811C7E" w:rsidRPr="00811C7E" w:rsidRDefault="00811C7E" w:rsidP="00811C7E">
      <w:pPr>
        <w:numPr>
          <w:ilvl w:val="0"/>
          <w:numId w:val="5"/>
        </w:numPr>
        <w:rPr>
          <w:b/>
          <w:bCs/>
        </w:rPr>
      </w:pPr>
      <w:r w:rsidRPr="00811C7E">
        <w:rPr>
          <w:b/>
          <w:bCs/>
        </w:rPr>
        <w:t>Economic Damages: These are quantifiable components of a claim, including medical expenses, lost wages, and the cost of replacing a damaged bicycle, clothing, or gear.</w:t>
      </w:r>
    </w:p>
    <w:p w14:paraId="66B5DD65" w14:textId="77777777" w:rsidR="00811C7E" w:rsidRPr="00811C7E" w:rsidRDefault="00811C7E" w:rsidP="00811C7E">
      <w:pPr>
        <w:numPr>
          <w:ilvl w:val="0"/>
          <w:numId w:val="5"/>
        </w:numPr>
        <w:rPr>
          <w:b/>
          <w:bCs/>
        </w:rPr>
      </w:pPr>
      <w:r w:rsidRPr="00811C7E">
        <w:rPr>
          <w:b/>
          <w:bCs/>
        </w:rPr>
        <w:t>Non-Economic Damages: These represent the personal, human impact of an injury, such as pain, suffering, and the loss of freedom to engage in activities like cycling.</w:t>
      </w:r>
    </w:p>
    <w:p w14:paraId="69FB6453" w14:textId="77777777" w:rsidR="00811C7E" w:rsidRPr="00811C7E" w:rsidRDefault="00811C7E" w:rsidP="00811C7E">
      <w:pPr>
        <w:rPr>
          <w:b/>
          <w:bCs/>
        </w:rPr>
      </w:pPr>
      <w:r w:rsidRPr="00811C7E">
        <w:rPr>
          <w:b/>
          <w:bCs/>
        </w:rPr>
        <w:pict w14:anchorId="0B3CD79B">
          <v:rect id="_x0000_i1102" style="width:0;height:1.5pt" o:hralign="center" o:hrstd="t" o:hr="t" fillcolor="#a0a0a0" stroked="f"/>
        </w:pict>
      </w:r>
    </w:p>
    <w:p w14:paraId="6C44AEEC" w14:textId="77777777" w:rsidR="00811C7E" w:rsidRPr="00811C7E" w:rsidRDefault="00811C7E" w:rsidP="00811C7E">
      <w:pPr>
        <w:rPr>
          <w:b/>
          <w:bCs/>
        </w:rPr>
      </w:pPr>
      <w:r w:rsidRPr="00811C7E">
        <w:rPr>
          <w:b/>
          <w:bCs/>
        </w:rPr>
        <w:t>Detailed Methodology or Process: Evaluating and Pursuing a Claim:</w:t>
      </w:r>
    </w:p>
    <w:p w14:paraId="21F78DB8" w14:textId="77777777" w:rsidR="00811C7E" w:rsidRPr="00811C7E" w:rsidRDefault="00811C7E" w:rsidP="00811C7E">
      <w:pPr>
        <w:rPr>
          <w:b/>
          <w:bCs/>
        </w:rPr>
      </w:pPr>
      <w:r w:rsidRPr="00811C7E">
        <w:rPr>
          <w:b/>
          <w:bCs/>
        </w:rPr>
        <w:t>The process of resolving a bicycle accident claim follows a specific progression influenced by medical recovery and legal strategy:</w:t>
      </w:r>
    </w:p>
    <w:p w14:paraId="31049A98" w14:textId="77777777" w:rsidR="00811C7E" w:rsidRPr="00811C7E" w:rsidRDefault="00811C7E" w:rsidP="00811C7E">
      <w:pPr>
        <w:numPr>
          <w:ilvl w:val="0"/>
          <w:numId w:val="6"/>
        </w:numPr>
        <w:rPr>
          <w:b/>
          <w:bCs/>
        </w:rPr>
      </w:pPr>
      <w:r w:rsidRPr="00811C7E">
        <w:rPr>
          <w:b/>
          <w:bCs/>
        </w:rPr>
        <w:lastRenderedPageBreak/>
        <w:t>Initial Assessment of Fault: A jury or legal team determines the percentage of fault for each party. There is no fixed formula for this calculation; it depends entirely on specific case facts.</w:t>
      </w:r>
    </w:p>
    <w:p w14:paraId="18AB8F64" w14:textId="77777777" w:rsidR="00811C7E" w:rsidRPr="00811C7E" w:rsidRDefault="00811C7E" w:rsidP="00811C7E">
      <w:pPr>
        <w:numPr>
          <w:ilvl w:val="0"/>
          <w:numId w:val="6"/>
        </w:numPr>
        <w:rPr>
          <w:b/>
          <w:bCs/>
        </w:rPr>
      </w:pPr>
      <w:r w:rsidRPr="00811C7E">
        <w:rPr>
          <w:b/>
          <w:bCs/>
        </w:rPr>
        <w:t>Medical Stabilization: The claimant should reach Maximum Medical Improvement (MMI) before resolving a claim. Settling early risks undervaluing the long-term effects of the injury.</w:t>
      </w:r>
    </w:p>
    <w:p w14:paraId="08A89E76" w14:textId="77777777" w:rsidR="00811C7E" w:rsidRPr="00811C7E" w:rsidRDefault="00811C7E" w:rsidP="00811C7E">
      <w:pPr>
        <w:numPr>
          <w:ilvl w:val="0"/>
          <w:numId w:val="6"/>
        </w:numPr>
        <w:rPr>
          <w:b/>
          <w:bCs/>
        </w:rPr>
      </w:pPr>
      <w:r w:rsidRPr="00811C7E">
        <w:rPr>
          <w:b/>
          <w:bCs/>
        </w:rPr>
        <w:t xml:space="preserve">Damages Calculation: Costs are aggregated across economic and non-economic categories. While economic costs are precise, non-economic </w:t>
      </w:r>
      <w:proofErr w:type="gramStart"/>
      <w:r w:rsidRPr="00811C7E">
        <w:rPr>
          <w:b/>
          <w:bCs/>
        </w:rPr>
        <w:t>damages are</w:t>
      </w:r>
      <w:proofErr w:type="gramEnd"/>
      <w:r w:rsidRPr="00811C7E">
        <w:rPr>
          <w:b/>
          <w:bCs/>
        </w:rPr>
        <w:t xml:space="preserve"> an "art" based on individual circumstances and jury assessment.</w:t>
      </w:r>
    </w:p>
    <w:p w14:paraId="47D3D202" w14:textId="77777777" w:rsidR="00811C7E" w:rsidRPr="00811C7E" w:rsidRDefault="00811C7E" w:rsidP="00811C7E">
      <w:pPr>
        <w:numPr>
          <w:ilvl w:val="0"/>
          <w:numId w:val="6"/>
        </w:numPr>
        <w:rPr>
          <w:b/>
          <w:bCs/>
        </w:rPr>
      </w:pPr>
      <w:r w:rsidRPr="00811C7E">
        <w:rPr>
          <w:b/>
          <w:bCs/>
        </w:rPr>
        <w:t>Insurance Interaction: The at-fault driver's insurer will likely request a statement. A trial attorney should prepare the claimant for this to prevent the insurer from finding information to reduce or deny the claim.</w:t>
      </w:r>
    </w:p>
    <w:p w14:paraId="242C78F6" w14:textId="77777777" w:rsidR="00811C7E" w:rsidRPr="00811C7E" w:rsidRDefault="00811C7E" w:rsidP="00811C7E">
      <w:pPr>
        <w:numPr>
          <w:ilvl w:val="0"/>
          <w:numId w:val="6"/>
        </w:numPr>
        <w:rPr>
          <w:b/>
          <w:bCs/>
        </w:rPr>
      </w:pPr>
      <w:r w:rsidRPr="00811C7E">
        <w:rPr>
          <w:b/>
          <w:bCs/>
        </w:rPr>
        <w:t>Resolution or Litigation: Claims can be resolved in months or, if liability is disputed or insurance acts in bad faith, may require significant court litigation.</w:t>
      </w:r>
    </w:p>
    <w:p w14:paraId="59292DDD" w14:textId="77777777" w:rsidR="00811C7E" w:rsidRPr="00811C7E" w:rsidRDefault="00811C7E" w:rsidP="00811C7E">
      <w:pPr>
        <w:rPr>
          <w:b/>
          <w:bCs/>
        </w:rPr>
      </w:pPr>
      <w:r w:rsidRPr="00811C7E">
        <w:rPr>
          <w:b/>
          <w:bCs/>
        </w:rPr>
        <w:pict w14:anchorId="382809FC">
          <v:rect id="_x0000_i1103" style="width:0;height:1.5pt" o:hralign="center" o:hrstd="t" o:hr="t" fillcolor="#a0a0a0" stroked="f"/>
        </w:pict>
      </w:r>
    </w:p>
    <w:p w14:paraId="1BD14F7A" w14:textId="77777777" w:rsidR="00811C7E" w:rsidRPr="00811C7E" w:rsidRDefault="00811C7E" w:rsidP="00811C7E">
      <w:pPr>
        <w:rPr>
          <w:b/>
          <w:bCs/>
        </w:rPr>
      </w:pPr>
      <w:r w:rsidRPr="00811C7E">
        <w:rPr>
          <w:b/>
          <w:bCs/>
        </w:rPr>
        <w:t>Real-World Applications and Examples: Fault and Insurance Scenarios:</w:t>
      </w:r>
    </w:p>
    <w:p w14:paraId="47E2CD24" w14:textId="77777777" w:rsidR="00811C7E" w:rsidRPr="00811C7E" w:rsidRDefault="00811C7E" w:rsidP="00811C7E">
      <w:pPr>
        <w:numPr>
          <w:ilvl w:val="0"/>
          <w:numId w:val="7"/>
        </w:numPr>
        <w:rPr>
          <w:b/>
          <w:bCs/>
        </w:rPr>
      </w:pPr>
      <w:r w:rsidRPr="00811C7E">
        <w:rPr>
          <w:b/>
          <w:bCs/>
        </w:rPr>
        <w:t>Partial Fault Scenario: A cyclist may feel they bear responsibility for a minor error, such as failing to remain stopped, while a driver simultaneously placed them in danger. Under Idaho law, a claim can still be pursued if the driver's share of fault is greater.</w:t>
      </w:r>
    </w:p>
    <w:p w14:paraId="62E4C567" w14:textId="77777777" w:rsidR="00811C7E" w:rsidRPr="00811C7E" w:rsidRDefault="00811C7E" w:rsidP="00811C7E">
      <w:pPr>
        <w:numPr>
          <w:ilvl w:val="0"/>
          <w:numId w:val="7"/>
        </w:numPr>
        <w:rPr>
          <w:b/>
          <w:bCs/>
        </w:rPr>
      </w:pPr>
      <w:r w:rsidRPr="00811C7E">
        <w:rPr>
          <w:b/>
          <w:bCs/>
        </w:rPr>
        <w:t>Insurance Exhaustion Example: Idaho drivers are only required to carry a minimum of $25,000 in liability coverage. A single serious hospital visit can quickly exhaust this limit, leaving an injured cyclist with significant uncompensated losses.</w:t>
      </w:r>
    </w:p>
    <w:p w14:paraId="7D75ECC3" w14:textId="77777777" w:rsidR="00811C7E" w:rsidRPr="00811C7E" w:rsidRDefault="00811C7E" w:rsidP="00811C7E">
      <w:pPr>
        <w:numPr>
          <w:ilvl w:val="0"/>
          <w:numId w:val="7"/>
        </w:numPr>
        <w:rPr>
          <w:b/>
          <w:bCs/>
        </w:rPr>
      </w:pPr>
      <w:r w:rsidRPr="00811C7E">
        <w:rPr>
          <w:b/>
          <w:bCs/>
        </w:rPr>
        <w:t>The "Fairness" Trap: Many cyclists naturally want to be honest and take responsibility for their part in an accident. Insurance adjusters are trained to exploit this tendency to take statements out of context and minimize claims.</w:t>
      </w:r>
    </w:p>
    <w:p w14:paraId="3008E7B5" w14:textId="77777777" w:rsidR="00811C7E" w:rsidRPr="00811C7E" w:rsidRDefault="00811C7E" w:rsidP="00811C7E">
      <w:pPr>
        <w:numPr>
          <w:ilvl w:val="0"/>
          <w:numId w:val="7"/>
        </w:numPr>
        <w:rPr>
          <w:b/>
          <w:bCs/>
        </w:rPr>
      </w:pPr>
      <w:r w:rsidRPr="00811C7E">
        <w:rPr>
          <w:b/>
          <w:bCs/>
        </w:rPr>
        <w:t>Property Damage Resolution: Certain claim components, such as compensation for the bicycle itself, can often be resolved quickly while other medical aspects are still being evaluated.</w:t>
      </w:r>
    </w:p>
    <w:p w14:paraId="60ADCFC3" w14:textId="77777777" w:rsidR="00811C7E" w:rsidRPr="00811C7E" w:rsidRDefault="00811C7E" w:rsidP="00811C7E">
      <w:pPr>
        <w:rPr>
          <w:b/>
          <w:bCs/>
        </w:rPr>
      </w:pPr>
      <w:r w:rsidRPr="00811C7E">
        <w:rPr>
          <w:b/>
          <w:bCs/>
        </w:rPr>
        <w:pict w14:anchorId="7313D69F">
          <v:rect id="_x0000_i1104" style="width:0;height:1.5pt" o:hralign="center" o:hrstd="t" o:hr="t" fillcolor="#a0a0a0" stroked="f"/>
        </w:pict>
      </w:r>
    </w:p>
    <w:p w14:paraId="070850D9" w14:textId="77777777" w:rsidR="00811C7E" w:rsidRPr="00811C7E" w:rsidRDefault="00811C7E" w:rsidP="00811C7E">
      <w:pPr>
        <w:rPr>
          <w:b/>
          <w:bCs/>
        </w:rPr>
      </w:pPr>
      <w:r w:rsidRPr="00811C7E">
        <w:rPr>
          <w:b/>
          <w:bCs/>
        </w:rPr>
        <w:t>Requirements and Standards: Insurance and Attorney Selection:</w:t>
      </w:r>
    </w:p>
    <w:p w14:paraId="6512429C" w14:textId="77777777" w:rsidR="00811C7E" w:rsidRPr="00811C7E" w:rsidRDefault="00811C7E" w:rsidP="00811C7E">
      <w:pPr>
        <w:numPr>
          <w:ilvl w:val="0"/>
          <w:numId w:val="8"/>
        </w:numPr>
        <w:rPr>
          <w:b/>
          <w:bCs/>
        </w:rPr>
      </w:pPr>
      <w:r w:rsidRPr="00811C7E">
        <w:rPr>
          <w:b/>
          <w:bCs/>
        </w:rPr>
        <w:lastRenderedPageBreak/>
        <w:t>At-Fault Driver’s Insurance: Typically includes Medical Payments coverage (for medical expenses) and Liability coverage (to compensate for losses caused by negligence).</w:t>
      </w:r>
    </w:p>
    <w:p w14:paraId="08925A34" w14:textId="77777777" w:rsidR="00811C7E" w:rsidRPr="00811C7E" w:rsidRDefault="00811C7E" w:rsidP="00811C7E">
      <w:pPr>
        <w:numPr>
          <w:ilvl w:val="0"/>
          <w:numId w:val="8"/>
        </w:numPr>
        <w:rPr>
          <w:b/>
          <w:bCs/>
        </w:rPr>
      </w:pPr>
      <w:r w:rsidRPr="00811C7E">
        <w:rPr>
          <w:b/>
          <w:bCs/>
        </w:rPr>
        <w:t>Underinsured Motorist (UIM) Coverage: Protects the cyclist when the at-fault driver does not carry enough insurance to cover the full extent of injuries.</w:t>
      </w:r>
    </w:p>
    <w:p w14:paraId="719B3635" w14:textId="77777777" w:rsidR="00811C7E" w:rsidRPr="00811C7E" w:rsidRDefault="00811C7E" w:rsidP="00811C7E">
      <w:pPr>
        <w:numPr>
          <w:ilvl w:val="0"/>
          <w:numId w:val="8"/>
        </w:numPr>
        <w:rPr>
          <w:b/>
          <w:bCs/>
        </w:rPr>
      </w:pPr>
      <w:r w:rsidRPr="00811C7E">
        <w:rPr>
          <w:b/>
          <w:bCs/>
        </w:rPr>
        <w:t>Uninsured Motorist (UM) Coverage: Protects the cyclist when the at-fault driver carries no insurance at all.</w:t>
      </w:r>
    </w:p>
    <w:p w14:paraId="6A7B8DBB" w14:textId="77777777" w:rsidR="00811C7E" w:rsidRPr="00811C7E" w:rsidRDefault="00811C7E" w:rsidP="00811C7E">
      <w:pPr>
        <w:numPr>
          <w:ilvl w:val="0"/>
          <w:numId w:val="8"/>
        </w:numPr>
        <w:rPr>
          <w:b/>
          <w:bCs/>
        </w:rPr>
      </w:pPr>
      <w:r w:rsidRPr="00811C7E">
        <w:rPr>
          <w:b/>
          <w:bCs/>
        </w:rPr>
        <w:t>Attorney Selection Criteria: A strong attorney should have genuine trial experience, professional recognition, and a willingness to litigate.</w:t>
      </w:r>
    </w:p>
    <w:p w14:paraId="20F93027" w14:textId="77777777" w:rsidR="00811C7E" w:rsidRPr="00811C7E" w:rsidRDefault="00811C7E" w:rsidP="00811C7E">
      <w:pPr>
        <w:numPr>
          <w:ilvl w:val="0"/>
          <w:numId w:val="8"/>
        </w:numPr>
        <w:rPr>
          <w:b/>
          <w:bCs/>
        </w:rPr>
      </w:pPr>
      <w:r w:rsidRPr="00811C7E">
        <w:rPr>
          <w:b/>
          <w:bCs/>
        </w:rPr>
        <w:t>Cycling-Specific Expertise: Cyclists should seek an attorney who understands the unique risks cyclists face, the specific types of losses they sustain, and the cycling culture.</w:t>
      </w:r>
    </w:p>
    <w:p w14:paraId="12B90D41" w14:textId="77777777" w:rsidR="00811C7E" w:rsidRPr="00811C7E" w:rsidRDefault="00811C7E" w:rsidP="00811C7E">
      <w:pPr>
        <w:rPr>
          <w:b/>
          <w:bCs/>
        </w:rPr>
      </w:pPr>
      <w:r w:rsidRPr="00811C7E">
        <w:rPr>
          <w:b/>
          <w:bCs/>
        </w:rPr>
        <w:pict w14:anchorId="5B1D75F1">
          <v:rect id="_x0000_i1105" style="width:0;height:1.5pt" o:hralign="center" o:hrstd="t" o:hr="t" fillcolor="#a0a0a0" stroked="f"/>
        </w:pict>
      </w:r>
    </w:p>
    <w:p w14:paraId="603E3C38" w14:textId="77777777" w:rsidR="00811C7E" w:rsidRPr="00811C7E" w:rsidRDefault="00811C7E" w:rsidP="00811C7E">
      <w:pPr>
        <w:rPr>
          <w:b/>
          <w:bCs/>
        </w:rPr>
      </w:pPr>
      <w:r w:rsidRPr="00811C7E">
        <w:rPr>
          <w:b/>
          <w:bCs/>
        </w:rPr>
        <w:t>Advanced Concepts and Considerations: Idaho Jury Dynamics:</w:t>
      </w:r>
    </w:p>
    <w:p w14:paraId="4E9926BB" w14:textId="77777777" w:rsidR="00811C7E" w:rsidRPr="00811C7E" w:rsidRDefault="00811C7E" w:rsidP="00811C7E">
      <w:pPr>
        <w:rPr>
          <w:b/>
          <w:bCs/>
        </w:rPr>
      </w:pPr>
      <w:r w:rsidRPr="00811C7E">
        <w:rPr>
          <w:b/>
          <w:bCs/>
        </w:rPr>
        <w:t>Bicycle cases in Idaho face unique hurdles regarding jury perception. Some jurors may hold the view that cyclists "assume a degree of risk" simply by riding on public roads. This perspective can affect how liability is perceived, even when the driver was clearly at fault. Successfully trying these cases requires advanced trial skills to counter these biases and demonstrate that the cyclist was not responsible. Geographic location also plays a role, as jury pools in cities like Boise, Coeur d'Alene, or Pocatello can influence damage assessments.</w:t>
      </w:r>
    </w:p>
    <w:p w14:paraId="646FAD79" w14:textId="77777777" w:rsidR="00811C7E" w:rsidRPr="00811C7E" w:rsidRDefault="00811C7E" w:rsidP="00811C7E">
      <w:pPr>
        <w:rPr>
          <w:b/>
          <w:bCs/>
        </w:rPr>
      </w:pPr>
      <w:r w:rsidRPr="00811C7E">
        <w:rPr>
          <w:b/>
          <w:bCs/>
        </w:rPr>
        <w:pict w14:anchorId="144272D9">
          <v:rect id="_x0000_i1106" style="width:0;height:1.5pt" o:hralign="center" o:hrstd="t" o:hr="t" fillcolor="#a0a0a0" stroked="f"/>
        </w:pict>
      </w:r>
    </w:p>
    <w:p w14:paraId="2B5ED71F" w14:textId="77777777" w:rsidR="00811C7E" w:rsidRPr="00811C7E" w:rsidRDefault="00811C7E" w:rsidP="00811C7E">
      <w:pPr>
        <w:rPr>
          <w:b/>
          <w:bCs/>
        </w:rPr>
      </w:pPr>
      <w:r w:rsidRPr="00811C7E">
        <w:rPr>
          <w:b/>
          <w:bCs/>
        </w:rPr>
        <w:t>Best Practices and Guidelines: Protecting the Claim:</w:t>
      </w:r>
    </w:p>
    <w:p w14:paraId="706F83C5" w14:textId="77777777" w:rsidR="00811C7E" w:rsidRPr="00811C7E" w:rsidRDefault="00811C7E" w:rsidP="00811C7E">
      <w:pPr>
        <w:numPr>
          <w:ilvl w:val="0"/>
          <w:numId w:val="9"/>
        </w:numPr>
        <w:rPr>
          <w:b/>
          <w:bCs/>
        </w:rPr>
      </w:pPr>
      <w:r w:rsidRPr="00811C7E">
        <w:rPr>
          <w:b/>
          <w:bCs/>
        </w:rPr>
        <w:t>Consult Before Speaking: Never provide a written or oral statement to an insurance company without first consulting a qualified attorney.</w:t>
      </w:r>
    </w:p>
    <w:p w14:paraId="011F0FA9" w14:textId="77777777" w:rsidR="00811C7E" w:rsidRPr="00811C7E" w:rsidRDefault="00811C7E" w:rsidP="00811C7E">
      <w:pPr>
        <w:numPr>
          <w:ilvl w:val="0"/>
          <w:numId w:val="9"/>
        </w:numPr>
        <w:rPr>
          <w:b/>
          <w:bCs/>
        </w:rPr>
      </w:pPr>
      <w:r w:rsidRPr="00811C7E">
        <w:rPr>
          <w:b/>
          <w:bCs/>
        </w:rPr>
        <w:t>Complete Medical Treatment: It is essential to follow all doctor-recommended treatments and attend every follow-up appointment. Gaps in treatment are used by insurers as evidence that injuries are not serious.</w:t>
      </w:r>
    </w:p>
    <w:p w14:paraId="1FA879DF" w14:textId="77777777" w:rsidR="00811C7E" w:rsidRPr="00811C7E" w:rsidRDefault="00811C7E" w:rsidP="00811C7E">
      <w:pPr>
        <w:numPr>
          <w:ilvl w:val="0"/>
          <w:numId w:val="9"/>
        </w:numPr>
        <w:rPr>
          <w:b/>
          <w:bCs/>
        </w:rPr>
      </w:pPr>
      <w:r w:rsidRPr="00811C7E">
        <w:rPr>
          <w:b/>
          <w:bCs/>
        </w:rPr>
        <w:t>Policy Review: Idaho cyclists are strongly encouraged to purchase as much UIM and UM coverage as their budget reasonably allows, as these are low-cost safeguards.</w:t>
      </w:r>
    </w:p>
    <w:p w14:paraId="1D5831B0" w14:textId="77777777" w:rsidR="00811C7E" w:rsidRPr="00811C7E" w:rsidRDefault="00811C7E" w:rsidP="00811C7E">
      <w:pPr>
        <w:numPr>
          <w:ilvl w:val="0"/>
          <w:numId w:val="9"/>
        </w:numPr>
        <w:rPr>
          <w:b/>
          <w:bCs/>
        </w:rPr>
      </w:pPr>
      <w:r w:rsidRPr="00811C7E">
        <w:rPr>
          <w:b/>
          <w:bCs/>
        </w:rPr>
        <w:lastRenderedPageBreak/>
        <w:t>Avoid Instant Valuations: Be cautious of any attorney offering a specific claim value over the phone without a detailed review of the facts.</w:t>
      </w:r>
    </w:p>
    <w:p w14:paraId="71F60F63" w14:textId="77777777" w:rsidR="003F20B7" w:rsidRPr="00811C7E" w:rsidRDefault="003F20B7" w:rsidP="00811C7E"/>
    <w:sectPr w:rsidR="003F20B7" w:rsidRPr="0081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FE1"/>
    <w:multiLevelType w:val="multilevel"/>
    <w:tmpl w:val="780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A2777"/>
    <w:multiLevelType w:val="multilevel"/>
    <w:tmpl w:val="5DD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94026"/>
    <w:multiLevelType w:val="multilevel"/>
    <w:tmpl w:val="4B8C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56327"/>
    <w:multiLevelType w:val="multilevel"/>
    <w:tmpl w:val="286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541B2"/>
    <w:multiLevelType w:val="multilevel"/>
    <w:tmpl w:val="FF7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D26A3"/>
    <w:multiLevelType w:val="multilevel"/>
    <w:tmpl w:val="CC48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33E93"/>
    <w:multiLevelType w:val="multilevel"/>
    <w:tmpl w:val="985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30E58"/>
    <w:multiLevelType w:val="multilevel"/>
    <w:tmpl w:val="D966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E18AF"/>
    <w:multiLevelType w:val="multilevel"/>
    <w:tmpl w:val="4C4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39629">
    <w:abstractNumId w:val="5"/>
  </w:num>
  <w:num w:numId="2" w16cid:durableId="64034706">
    <w:abstractNumId w:val="6"/>
  </w:num>
  <w:num w:numId="3" w16cid:durableId="867334999">
    <w:abstractNumId w:val="8"/>
  </w:num>
  <w:num w:numId="4" w16cid:durableId="547032731">
    <w:abstractNumId w:val="0"/>
  </w:num>
  <w:num w:numId="5" w16cid:durableId="1444810813">
    <w:abstractNumId w:val="3"/>
  </w:num>
  <w:num w:numId="6" w16cid:durableId="580914333">
    <w:abstractNumId w:val="2"/>
  </w:num>
  <w:num w:numId="7" w16cid:durableId="1019695558">
    <w:abstractNumId w:val="1"/>
  </w:num>
  <w:num w:numId="8" w16cid:durableId="1129741948">
    <w:abstractNumId w:val="7"/>
  </w:num>
  <w:num w:numId="9" w16cid:durableId="778139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F3"/>
    <w:rsid w:val="0026565B"/>
    <w:rsid w:val="00293011"/>
    <w:rsid w:val="003567A9"/>
    <w:rsid w:val="003F20B7"/>
    <w:rsid w:val="00627845"/>
    <w:rsid w:val="00811C7E"/>
    <w:rsid w:val="00BE48F3"/>
    <w:rsid w:val="00E67B8D"/>
    <w:rsid w:val="00EF6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0EF9"/>
  <w15:chartTrackingRefBased/>
  <w15:docId w15:val="{E1495EC2-19E9-45A2-AAA4-89C657634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8F3"/>
    <w:rPr>
      <w:rFonts w:eastAsiaTheme="majorEastAsia" w:cstheme="majorBidi"/>
      <w:color w:val="272727" w:themeColor="text1" w:themeTint="D8"/>
    </w:rPr>
  </w:style>
  <w:style w:type="paragraph" w:styleId="Title">
    <w:name w:val="Title"/>
    <w:basedOn w:val="Normal"/>
    <w:next w:val="Normal"/>
    <w:link w:val="TitleChar"/>
    <w:uiPriority w:val="10"/>
    <w:qFormat/>
    <w:rsid w:val="00BE4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8F3"/>
    <w:pPr>
      <w:spacing w:before="160"/>
      <w:jc w:val="center"/>
    </w:pPr>
    <w:rPr>
      <w:i/>
      <w:iCs/>
      <w:color w:val="404040" w:themeColor="text1" w:themeTint="BF"/>
    </w:rPr>
  </w:style>
  <w:style w:type="character" w:customStyle="1" w:styleId="QuoteChar">
    <w:name w:val="Quote Char"/>
    <w:basedOn w:val="DefaultParagraphFont"/>
    <w:link w:val="Quote"/>
    <w:uiPriority w:val="29"/>
    <w:rsid w:val="00BE48F3"/>
    <w:rPr>
      <w:i/>
      <w:iCs/>
      <w:color w:val="404040" w:themeColor="text1" w:themeTint="BF"/>
    </w:rPr>
  </w:style>
  <w:style w:type="paragraph" w:styleId="ListParagraph">
    <w:name w:val="List Paragraph"/>
    <w:basedOn w:val="Normal"/>
    <w:uiPriority w:val="34"/>
    <w:qFormat/>
    <w:rsid w:val="00BE48F3"/>
    <w:pPr>
      <w:ind w:left="720"/>
      <w:contextualSpacing/>
    </w:pPr>
  </w:style>
  <w:style w:type="character" w:styleId="IntenseEmphasis">
    <w:name w:val="Intense Emphasis"/>
    <w:basedOn w:val="DefaultParagraphFont"/>
    <w:uiPriority w:val="21"/>
    <w:qFormat/>
    <w:rsid w:val="00BE48F3"/>
    <w:rPr>
      <w:i/>
      <w:iCs/>
      <w:color w:val="0F4761" w:themeColor="accent1" w:themeShade="BF"/>
    </w:rPr>
  </w:style>
  <w:style w:type="paragraph" w:styleId="IntenseQuote">
    <w:name w:val="Intense Quote"/>
    <w:basedOn w:val="Normal"/>
    <w:next w:val="Normal"/>
    <w:link w:val="IntenseQuoteChar"/>
    <w:uiPriority w:val="30"/>
    <w:qFormat/>
    <w:rsid w:val="00BE4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8F3"/>
    <w:rPr>
      <w:i/>
      <w:iCs/>
      <w:color w:val="0F4761" w:themeColor="accent1" w:themeShade="BF"/>
    </w:rPr>
  </w:style>
  <w:style w:type="character" w:styleId="IntenseReference">
    <w:name w:val="Intense Reference"/>
    <w:basedOn w:val="DefaultParagraphFont"/>
    <w:uiPriority w:val="32"/>
    <w:qFormat/>
    <w:rsid w:val="00BE4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961</Words>
  <Characters>5124</Characters>
  <Application>Microsoft Office Word</Application>
  <DocSecurity>0</DocSecurity>
  <Lines>98</Lines>
  <Paragraphs>28</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2026-03-06T20:44:00Z</dcterms:created>
  <dcterms:modified xsi:type="dcterms:W3CDTF">2026-03-09T18:34:00Z</dcterms:modified>
</cp:coreProperties>
</file>