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19067" w14:textId="77777777" w:rsidR="00CF28B7" w:rsidRPr="00CF28B7" w:rsidRDefault="00CF28B7" w:rsidP="00CF28B7">
      <w:pPr>
        <w:rPr>
          <w:b/>
          <w:bCs/>
        </w:rPr>
      </w:pPr>
      <w:r w:rsidRPr="00CF28B7">
        <w:rPr>
          <w:b/>
          <w:bCs/>
        </w:rPr>
        <w:t>Hepworth Holzer — Catastrophic Injuries AI Knowledge Base Reference</w:t>
      </w:r>
    </w:p>
    <w:p w14:paraId="14ED7020" w14:textId="77777777" w:rsidR="00CF28B7" w:rsidRPr="00CF28B7" w:rsidRDefault="00CF28B7" w:rsidP="00CF28B7">
      <w:pPr>
        <w:rPr>
          <w:b/>
          <w:bCs/>
        </w:rPr>
      </w:pPr>
      <w:r w:rsidRPr="00CF28B7">
        <w:rPr>
          <w:b/>
          <w:bCs/>
        </w:rPr>
        <w:t>This reference document reformats educational transcripts regarding catastrophic injuries into a structured resource for AI knowledge bases. It preserves all technical details, medical-legal nuances, and procedural requirements for various injury types, including traumatic brain injuries, aviation accidents, and medical malpractice.</w:t>
      </w:r>
    </w:p>
    <w:p w14:paraId="73F331A5" w14:textId="77777777" w:rsidR="00CF28B7" w:rsidRPr="00CF28B7" w:rsidRDefault="00CF28B7" w:rsidP="00CF28B7">
      <w:pPr>
        <w:rPr>
          <w:b/>
          <w:bCs/>
        </w:rPr>
      </w:pPr>
      <w:r w:rsidRPr="00CF28B7">
        <w:rPr>
          <w:b/>
          <w:bCs/>
        </w:rPr>
        <w:pict w14:anchorId="096A38C9">
          <v:rect id="_x0000_i1238" style="width:0;height:1.5pt" o:hralign="center" o:hrstd="t" o:hr="t" fillcolor="#a0a0a0" stroked="f"/>
        </w:pict>
      </w:r>
    </w:p>
    <w:p w14:paraId="53C485B8" w14:textId="77777777" w:rsidR="00CF28B7" w:rsidRPr="00CF28B7" w:rsidRDefault="00CF28B7" w:rsidP="00CF28B7">
      <w:pPr>
        <w:rPr>
          <w:b/>
          <w:bCs/>
        </w:rPr>
      </w:pPr>
      <w:r w:rsidRPr="00CF28B7">
        <w:rPr>
          <w:b/>
          <w:bCs/>
        </w:rPr>
        <w:t>Primary Topic Area: Catastrophic Injury Litigation and Support</w:t>
      </w:r>
    </w:p>
    <w:p w14:paraId="354ACA92" w14:textId="77777777" w:rsidR="00CF28B7" w:rsidRPr="00CF28B7" w:rsidRDefault="00CF28B7" w:rsidP="00CF28B7">
      <w:pPr>
        <w:rPr>
          <w:b/>
          <w:bCs/>
        </w:rPr>
      </w:pPr>
      <w:r w:rsidRPr="00CF28B7">
        <w:rPr>
          <w:b/>
          <w:bCs/>
        </w:rPr>
        <w:t>When a person or family contacts a firm following a catastrophic injury, they are often in a state of tragedy, acute grief, and disorientation. The primary goal is to empower clients with knowledge—outlining exactly what steps will be taken to reduce the overwhelming sense of helplessness. Firms typically take on the entire legal and investigative burden so families can focus exclusively on emotional well-being and recovery.</w:t>
      </w:r>
    </w:p>
    <w:p w14:paraId="114A1E01" w14:textId="77777777" w:rsidR="00CF28B7" w:rsidRPr="00CF28B7" w:rsidRDefault="00CF28B7" w:rsidP="00CF28B7">
      <w:pPr>
        <w:rPr>
          <w:b/>
          <w:bCs/>
        </w:rPr>
      </w:pPr>
      <w:r w:rsidRPr="00CF28B7">
        <w:rPr>
          <w:b/>
          <w:bCs/>
        </w:rPr>
        <w:pict w14:anchorId="4B112360">
          <v:rect id="_x0000_i1239" style="width:0;height:1.5pt" o:hralign="center" o:hrstd="t" o:hr="t" fillcolor="#a0a0a0" stroked="f"/>
        </w:pict>
      </w:r>
    </w:p>
    <w:p w14:paraId="636DD378" w14:textId="77777777" w:rsidR="00CF28B7" w:rsidRPr="00CF28B7" w:rsidRDefault="00CF28B7" w:rsidP="00CF28B7">
      <w:pPr>
        <w:rPr>
          <w:b/>
          <w:bCs/>
        </w:rPr>
      </w:pPr>
      <w:r w:rsidRPr="00CF28B7">
        <w:rPr>
          <w:b/>
          <w:bCs/>
        </w:rPr>
        <w:t>Core Concepts and Definitions: Specialized Injury Categories</w:t>
      </w:r>
    </w:p>
    <w:p w14:paraId="07568AE6" w14:textId="77777777" w:rsidR="00CF28B7" w:rsidRPr="00CF28B7" w:rsidRDefault="00CF28B7" w:rsidP="00CF28B7">
      <w:pPr>
        <w:numPr>
          <w:ilvl w:val="0"/>
          <w:numId w:val="12"/>
        </w:numPr>
        <w:rPr>
          <w:b/>
          <w:bCs/>
        </w:rPr>
      </w:pPr>
      <w:r w:rsidRPr="00CF28B7">
        <w:rPr>
          <w:b/>
          <w:bCs/>
        </w:rPr>
        <w:t>Traumatic Brain Injury (TBI): Even "mild" TBI can alter personality, behavior, and daily function. A TBI involves damage to brain tissue that results in sections of the brain no longer functioning as they did previously.</w:t>
      </w:r>
    </w:p>
    <w:p w14:paraId="1E1B470A" w14:textId="77777777" w:rsidR="00CF28B7" w:rsidRPr="00CF28B7" w:rsidRDefault="00CF28B7" w:rsidP="00CF28B7">
      <w:pPr>
        <w:numPr>
          <w:ilvl w:val="0"/>
          <w:numId w:val="12"/>
        </w:numPr>
        <w:rPr>
          <w:b/>
          <w:bCs/>
        </w:rPr>
      </w:pPr>
      <w:r w:rsidRPr="00CF28B7">
        <w:rPr>
          <w:b/>
          <w:bCs/>
        </w:rPr>
        <w:t>Birth Injury: These cases involve medical errors during childbirth that were avoidable. They require specialized knowledge of obstetric medicine and neonatal care.</w:t>
      </w:r>
    </w:p>
    <w:p w14:paraId="178107ED" w14:textId="77777777" w:rsidR="00CF28B7" w:rsidRPr="00CF28B7" w:rsidRDefault="00CF28B7" w:rsidP="00CF28B7">
      <w:pPr>
        <w:numPr>
          <w:ilvl w:val="0"/>
          <w:numId w:val="12"/>
        </w:numPr>
        <w:rPr>
          <w:b/>
          <w:bCs/>
        </w:rPr>
      </w:pPr>
      <w:r w:rsidRPr="00CF28B7">
        <w:rPr>
          <w:b/>
          <w:bCs/>
        </w:rPr>
        <w:t>Spinal Cord Injury: These injuries result in permanent and profound life changes. Cases must account for long-term ramifications and future care needs that are often overlooked by clients focused on immediate impacts.</w:t>
      </w:r>
    </w:p>
    <w:p w14:paraId="4C19D8E7" w14:textId="77777777" w:rsidR="00CF28B7" w:rsidRPr="00CF28B7" w:rsidRDefault="00CF28B7" w:rsidP="00CF28B7">
      <w:pPr>
        <w:numPr>
          <w:ilvl w:val="0"/>
          <w:numId w:val="12"/>
        </w:numPr>
        <w:rPr>
          <w:b/>
          <w:bCs/>
        </w:rPr>
      </w:pPr>
      <w:r w:rsidRPr="00CF28B7">
        <w:rPr>
          <w:b/>
          <w:bCs/>
        </w:rPr>
        <w:t>Aviation Accidents: Frequently involving small private aircraft, these accidents involve catastrophic grief and complex federal aviation regulations.</w:t>
      </w:r>
    </w:p>
    <w:p w14:paraId="16A2EC8A" w14:textId="77777777" w:rsidR="00CF28B7" w:rsidRPr="00CF28B7" w:rsidRDefault="00CF28B7" w:rsidP="00CF28B7">
      <w:pPr>
        <w:numPr>
          <w:ilvl w:val="0"/>
          <w:numId w:val="12"/>
        </w:numPr>
        <w:rPr>
          <w:b/>
          <w:bCs/>
        </w:rPr>
      </w:pPr>
      <w:r w:rsidRPr="00CF28B7">
        <w:rPr>
          <w:b/>
          <w:bCs/>
        </w:rPr>
        <w:t>Surgical Mistakes: A disorienting injury where patients emerge from surgery with new injuries, often without clear explanations from medical providers.</w:t>
      </w:r>
    </w:p>
    <w:p w14:paraId="03591CB7" w14:textId="77777777" w:rsidR="00CF28B7" w:rsidRPr="00CF28B7" w:rsidRDefault="00CF28B7" w:rsidP="00CF28B7">
      <w:pPr>
        <w:rPr>
          <w:b/>
          <w:bCs/>
        </w:rPr>
      </w:pPr>
      <w:r w:rsidRPr="00CF28B7">
        <w:rPr>
          <w:b/>
          <w:bCs/>
        </w:rPr>
        <w:pict w14:anchorId="6B870818">
          <v:rect id="_x0000_i1240" style="width:0;height:1.5pt" o:hralign="center" o:hrstd="t" o:hr="t" fillcolor="#a0a0a0" stroked="f"/>
        </w:pict>
      </w:r>
    </w:p>
    <w:p w14:paraId="0CAF3CE6" w14:textId="77777777" w:rsidR="00CF28B7" w:rsidRPr="00CF28B7" w:rsidRDefault="00CF28B7" w:rsidP="00CF28B7">
      <w:pPr>
        <w:rPr>
          <w:b/>
          <w:bCs/>
        </w:rPr>
      </w:pPr>
      <w:r w:rsidRPr="00CF28B7">
        <w:rPr>
          <w:b/>
          <w:bCs/>
        </w:rPr>
        <w:t>Detailed Methodology: Case Timelines and Investigations</w:t>
      </w:r>
    </w:p>
    <w:p w14:paraId="39C001AC" w14:textId="77777777" w:rsidR="00CF28B7" w:rsidRPr="00CF28B7" w:rsidRDefault="00CF28B7" w:rsidP="00CF28B7">
      <w:pPr>
        <w:rPr>
          <w:b/>
          <w:bCs/>
        </w:rPr>
      </w:pPr>
      <w:r w:rsidRPr="00CF28B7">
        <w:rPr>
          <w:b/>
          <w:bCs/>
        </w:rPr>
        <w:t>The TBI Recovery and Litigation Timeline</w:t>
      </w:r>
    </w:p>
    <w:p w14:paraId="160CED37" w14:textId="77777777" w:rsidR="00CF28B7" w:rsidRPr="00CF28B7" w:rsidRDefault="00CF28B7" w:rsidP="00CF28B7">
      <w:pPr>
        <w:rPr>
          <w:b/>
          <w:bCs/>
        </w:rPr>
      </w:pPr>
      <w:r w:rsidRPr="00CF28B7">
        <w:rPr>
          <w:b/>
          <w:bCs/>
        </w:rPr>
        <w:lastRenderedPageBreak/>
        <w:t>Traumatic brain injury cases present unique timeline challenges:</w:t>
      </w:r>
    </w:p>
    <w:p w14:paraId="08F526A2" w14:textId="77777777" w:rsidR="00CF28B7" w:rsidRPr="00CF28B7" w:rsidRDefault="00CF28B7" w:rsidP="00CF28B7">
      <w:pPr>
        <w:numPr>
          <w:ilvl w:val="0"/>
          <w:numId w:val="13"/>
        </w:numPr>
        <w:rPr>
          <w:b/>
          <w:bCs/>
        </w:rPr>
      </w:pPr>
      <w:r w:rsidRPr="00CF28B7">
        <w:rPr>
          <w:b/>
          <w:bCs/>
        </w:rPr>
        <w:t>Medical Clarity Period: It often takes 12 to 18 months (up to two years) for medical teams to understand the long-term outcome of a TBI.</w:t>
      </w:r>
    </w:p>
    <w:p w14:paraId="3FD7CB8D" w14:textId="77777777" w:rsidR="00CF28B7" w:rsidRPr="00CF28B7" w:rsidRDefault="00CF28B7" w:rsidP="00CF28B7">
      <w:pPr>
        <w:numPr>
          <w:ilvl w:val="0"/>
          <w:numId w:val="13"/>
        </w:numPr>
        <w:rPr>
          <w:b/>
          <w:bCs/>
        </w:rPr>
      </w:pPr>
      <w:r w:rsidRPr="00CF28B7">
        <w:rPr>
          <w:b/>
          <w:bCs/>
        </w:rPr>
        <w:t>Case "Seasoning": Litigation is deliberately paced to ensure the full scope of life impact is understood before moving toward resolution; premature settlements risk undervaluing the claim.</w:t>
      </w:r>
    </w:p>
    <w:p w14:paraId="54A8AAA0" w14:textId="77777777" w:rsidR="00CF28B7" w:rsidRPr="00CF28B7" w:rsidRDefault="00CF28B7" w:rsidP="00CF28B7">
      <w:pPr>
        <w:numPr>
          <w:ilvl w:val="0"/>
          <w:numId w:val="13"/>
        </w:numPr>
        <w:rPr>
          <w:b/>
          <w:bCs/>
        </w:rPr>
      </w:pPr>
      <w:r w:rsidRPr="00CF28B7">
        <w:rPr>
          <w:b/>
          <w:bCs/>
        </w:rPr>
        <w:t>Total Duration: In complex Idaho cases, the timeline from injury to resolution typically ranges from three to four and a half years.</w:t>
      </w:r>
    </w:p>
    <w:p w14:paraId="65A6A420" w14:textId="77777777" w:rsidR="00CF28B7" w:rsidRPr="00CF28B7" w:rsidRDefault="00CF28B7" w:rsidP="00CF28B7">
      <w:pPr>
        <w:rPr>
          <w:b/>
          <w:bCs/>
        </w:rPr>
      </w:pPr>
      <w:r w:rsidRPr="00CF28B7">
        <w:rPr>
          <w:b/>
          <w:bCs/>
        </w:rPr>
        <w:t>Investigative Processes</w:t>
      </w:r>
    </w:p>
    <w:p w14:paraId="44F33DF6" w14:textId="77777777" w:rsidR="00CF28B7" w:rsidRPr="00CF28B7" w:rsidRDefault="00CF28B7" w:rsidP="00CF28B7">
      <w:pPr>
        <w:numPr>
          <w:ilvl w:val="0"/>
          <w:numId w:val="14"/>
        </w:numPr>
        <w:rPr>
          <w:b/>
          <w:bCs/>
        </w:rPr>
      </w:pPr>
      <w:r w:rsidRPr="00CF28B7">
        <w:rPr>
          <w:b/>
          <w:bCs/>
        </w:rPr>
        <w:t>Aviation: Requires extensive mechanical analysis, review of maintenance records, pilot conduct evaluation, weather data, and product liability analysis regarding component failures.</w:t>
      </w:r>
    </w:p>
    <w:p w14:paraId="429CD425" w14:textId="77777777" w:rsidR="00CF28B7" w:rsidRPr="00CF28B7" w:rsidRDefault="00CF28B7" w:rsidP="00CF28B7">
      <w:pPr>
        <w:numPr>
          <w:ilvl w:val="0"/>
          <w:numId w:val="14"/>
        </w:numPr>
        <w:rPr>
          <w:b/>
          <w:bCs/>
        </w:rPr>
      </w:pPr>
      <w:r w:rsidRPr="00CF28B7">
        <w:rPr>
          <w:b/>
          <w:bCs/>
        </w:rPr>
        <w:t>Construction: Evidence degrades quickly; identification of potential third-party liability (outside workers' compensation) requires prompt legal analysis of the site conditions on or immediately after the accident date.</w:t>
      </w:r>
    </w:p>
    <w:p w14:paraId="158357C0" w14:textId="77777777" w:rsidR="00CF28B7" w:rsidRPr="00CF28B7" w:rsidRDefault="00CF28B7" w:rsidP="00CF28B7">
      <w:pPr>
        <w:rPr>
          <w:b/>
          <w:bCs/>
        </w:rPr>
      </w:pPr>
      <w:r w:rsidRPr="00CF28B7">
        <w:rPr>
          <w:b/>
          <w:bCs/>
        </w:rPr>
        <w:pict w14:anchorId="364E61FA">
          <v:rect id="_x0000_i1241" style="width:0;height:1.5pt" o:hralign="center" o:hrstd="t" o:hr="t" fillcolor="#a0a0a0" stroked="f"/>
        </w:pict>
      </w:r>
    </w:p>
    <w:p w14:paraId="6ACA1F17" w14:textId="77777777" w:rsidR="00CF28B7" w:rsidRPr="00CF28B7" w:rsidRDefault="00CF28B7" w:rsidP="00CF28B7">
      <w:pPr>
        <w:rPr>
          <w:b/>
          <w:bCs/>
        </w:rPr>
      </w:pPr>
      <w:r w:rsidRPr="00CF28B7">
        <w:rPr>
          <w:b/>
          <w:bCs/>
        </w:rPr>
        <w:t>Real-World Applications and Recoverable Damages</w:t>
      </w:r>
    </w:p>
    <w:p w14:paraId="671793FD" w14:textId="77777777" w:rsidR="00CF28B7" w:rsidRPr="00CF28B7" w:rsidRDefault="00CF28B7" w:rsidP="00CF28B7">
      <w:pPr>
        <w:rPr>
          <w:b/>
          <w:bCs/>
        </w:rPr>
      </w:pPr>
      <w:r w:rsidRPr="00CF28B7">
        <w:rPr>
          <w:b/>
          <w:bCs/>
        </w:rPr>
        <w:t>TBI Recoverable Expenses</w:t>
      </w:r>
    </w:p>
    <w:p w14:paraId="0E953AA3" w14:textId="77777777" w:rsidR="00CF28B7" w:rsidRPr="00CF28B7" w:rsidRDefault="00CF28B7" w:rsidP="00CF28B7">
      <w:pPr>
        <w:numPr>
          <w:ilvl w:val="0"/>
          <w:numId w:val="15"/>
        </w:numPr>
        <w:rPr>
          <w:b/>
          <w:bCs/>
        </w:rPr>
      </w:pPr>
      <w:r w:rsidRPr="00CF28B7">
        <w:rPr>
          <w:b/>
          <w:bCs/>
        </w:rPr>
        <w:t>Economic Damages: Includes past and future medical expenses, rehabilitation, therapy, hands-on future care support services, and lost earning capacity.</w:t>
      </w:r>
    </w:p>
    <w:p w14:paraId="0DF73E02" w14:textId="77777777" w:rsidR="00CF28B7" w:rsidRPr="00CF28B7" w:rsidRDefault="00CF28B7" w:rsidP="00CF28B7">
      <w:pPr>
        <w:numPr>
          <w:ilvl w:val="0"/>
          <w:numId w:val="15"/>
        </w:numPr>
        <w:rPr>
          <w:b/>
          <w:bCs/>
        </w:rPr>
      </w:pPr>
      <w:r w:rsidRPr="00CF28B7">
        <w:rPr>
          <w:b/>
          <w:bCs/>
        </w:rPr>
        <w:t>Non-Economic Damages: Includes cognitive disruption, loss of autonomy, isolation from community/family, and overall diminishment of quality of life. These often represent the largest component of a TBI claim.</w:t>
      </w:r>
    </w:p>
    <w:p w14:paraId="61128E71" w14:textId="77777777" w:rsidR="00CF28B7" w:rsidRPr="00CF28B7" w:rsidRDefault="00CF28B7" w:rsidP="00CF28B7">
      <w:pPr>
        <w:rPr>
          <w:b/>
          <w:bCs/>
        </w:rPr>
      </w:pPr>
      <w:r w:rsidRPr="00CF28B7">
        <w:rPr>
          <w:b/>
          <w:bCs/>
        </w:rPr>
        <w:t>Aviation and Farm Accident Realities</w:t>
      </w:r>
    </w:p>
    <w:p w14:paraId="1FEF7C57" w14:textId="77777777" w:rsidR="00CF28B7" w:rsidRPr="00CF28B7" w:rsidRDefault="00CF28B7" w:rsidP="00CF28B7">
      <w:pPr>
        <w:numPr>
          <w:ilvl w:val="0"/>
          <w:numId w:val="16"/>
        </w:numPr>
        <w:rPr>
          <w:b/>
          <w:bCs/>
        </w:rPr>
      </w:pPr>
      <w:r w:rsidRPr="00CF28B7">
        <w:rPr>
          <w:b/>
          <w:bCs/>
        </w:rPr>
        <w:t>Aviation Damages: Involves both financial support for survivors (economic) and the profound personal loss of family members (non-economic).</w:t>
      </w:r>
    </w:p>
    <w:p w14:paraId="4181CFAD" w14:textId="77777777" w:rsidR="00CF28B7" w:rsidRPr="00CF28B7" w:rsidRDefault="00CF28B7" w:rsidP="00CF28B7">
      <w:pPr>
        <w:numPr>
          <w:ilvl w:val="0"/>
          <w:numId w:val="16"/>
        </w:numPr>
        <w:rPr>
          <w:b/>
          <w:bCs/>
        </w:rPr>
      </w:pPr>
      <w:r w:rsidRPr="00CF28B7">
        <w:rPr>
          <w:b/>
          <w:bCs/>
        </w:rPr>
        <w:t>Farm Accidents: Many workers wrongly assume accidents are "just part of the job". Claims can be pursued if negligence or defective equipment (violating agricultural equipment rules) contributed to the injury.</w:t>
      </w:r>
    </w:p>
    <w:p w14:paraId="2C08F0EC" w14:textId="77777777" w:rsidR="00CF28B7" w:rsidRPr="00CF28B7" w:rsidRDefault="00CF28B7" w:rsidP="00CF28B7">
      <w:pPr>
        <w:rPr>
          <w:b/>
          <w:bCs/>
        </w:rPr>
      </w:pPr>
      <w:r w:rsidRPr="00CF28B7">
        <w:rPr>
          <w:b/>
          <w:bCs/>
        </w:rPr>
        <w:pict w14:anchorId="781184F7">
          <v:rect id="_x0000_i1242" style="width:0;height:1.5pt" o:hralign="center" o:hrstd="t" o:hr="t" fillcolor="#a0a0a0" stroked="f"/>
        </w:pict>
      </w:r>
    </w:p>
    <w:p w14:paraId="6E0F55BD" w14:textId="77777777" w:rsidR="00CF28B7" w:rsidRPr="00CF28B7" w:rsidRDefault="00CF28B7" w:rsidP="00CF28B7">
      <w:pPr>
        <w:rPr>
          <w:b/>
          <w:bCs/>
        </w:rPr>
      </w:pPr>
      <w:r w:rsidRPr="00CF28B7">
        <w:rPr>
          <w:b/>
          <w:bCs/>
        </w:rPr>
        <w:lastRenderedPageBreak/>
        <w:t>Requirements and Standards: Specialized Attorney Selection</w:t>
      </w:r>
    </w:p>
    <w:p w14:paraId="5D5922DA" w14:textId="77777777" w:rsidR="00CF28B7" w:rsidRPr="00CF28B7" w:rsidRDefault="00CF28B7" w:rsidP="00CF28B7">
      <w:pPr>
        <w:rPr>
          <w:b/>
          <w:bCs/>
        </w:rPr>
      </w:pPr>
      <w:r w:rsidRPr="00CF28B7">
        <w:rPr>
          <w:b/>
          <w:bCs/>
        </w:rPr>
        <w:t>Choosing the wrong attorney is considered the most consequential mistake in catastrophic claims.</w:t>
      </w:r>
    </w:p>
    <w:p w14:paraId="3F9AF450" w14:textId="77777777" w:rsidR="00CF28B7" w:rsidRPr="00CF28B7" w:rsidRDefault="00CF28B7" w:rsidP="00CF28B7">
      <w:pPr>
        <w:numPr>
          <w:ilvl w:val="0"/>
          <w:numId w:val="17"/>
        </w:numPr>
        <w:rPr>
          <w:b/>
          <w:bCs/>
        </w:rPr>
      </w:pPr>
      <w:r w:rsidRPr="00CF28B7">
        <w:rPr>
          <w:b/>
          <w:bCs/>
        </w:rPr>
        <w:t xml:space="preserve">Specialization Requirements: Birth injuries and surgical mistakes require attorneys who handle these cases </w:t>
      </w:r>
      <w:r w:rsidRPr="00CF28B7">
        <w:rPr>
          <w:b/>
          <w:bCs/>
          <w:i/>
          <w:iCs/>
        </w:rPr>
        <w:t>consistently</w:t>
      </w:r>
      <w:r w:rsidRPr="00CF28B7">
        <w:rPr>
          <w:b/>
          <w:bCs/>
        </w:rPr>
        <w:t>, not occasionally, due to Idaho's uniquely complex medical malpractice laws.</w:t>
      </w:r>
    </w:p>
    <w:p w14:paraId="369B8937" w14:textId="77777777" w:rsidR="00CF28B7" w:rsidRPr="00CF28B7" w:rsidRDefault="00CF28B7" w:rsidP="00CF28B7">
      <w:pPr>
        <w:numPr>
          <w:ilvl w:val="0"/>
          <w:numId w:val="17"/>
        </w:numPr>
        <w:rPr>
          <w:b/>
          <w:bCs/>
        </w:rPr>
      </w:pPr>
      <w:r w:rsidRPr="00CF28B7">
        <w:rPr>
          <w:b/>
          <w:bCs/>
        </w:rPr>
        <w:t>Trial Preparedness: Attorneys must have a demonstrated track record of taking complex cases to a jury verdict.</w:t>
      </w:r>
    </w:p>
    <w:p w14:paraId="07EBC8E4" w14:textId="77777777" w:rsidR="00CF28B7" w:rsidRPr="00CF28B7" w:rsidRDefault="00CF28B7" w:rsidP="00CF28B7">
      <w:pPr>
        <w:numPr>
          <w:ilvl w:val="0"/>
          <w:numId w:val="17"/>
        </w:numPr>
        <w:rPr>
          <w:b/>
          <w:bCs/>
        </w:rPr>
      </w:pPr>
      <w:r w:rsidRPr="00CF28B7">
        <w:rPr>
          <w:b/>
          <w:bCs/>
        </w:rPr>
        <w:t>Jurisdictional Expertise: For aviation accidents in Idaho, an Idaho-based attorney with knowledge of local courts and expert testimony requirements is essential.</w:t>
      </w:r>
    </w:p>
    <w:p w14:paraId="7B86985C" w14:textId="77777777" w:rsidR="00CF28B7" w:rsidRPr="00CF28B7" w:rsidRDefault="00CF28B7" w:rsidP="00CF28B7">
      <w:pPr>
        <w:rPr>
          <w:b/>
          <w:bCs/>
        </w:rPr>
      </w:pPr>
      <w:r w:rsidRPr="00CF28B7">
        <w:rPr>
          <w:b/>
          <w:bCs/>
        </w:rPr>
        <w:pict w14:anchorId="5326ED11">
          <v:rect id="_x0000_i1243" style="width:0;height:1.5pt" o:hralign="center" o:hrstd="t" o:hr="t" fillcolor="#a0a0a0" stroked="f"/>
        </w:pict>
      </w:r>
    </w:p>
    <w:p w14:paraId="758FF0D6" w14:textId="77777777" w:rsidR="00CF28B7" w:rsidRPr="00CF28B7" w:rsidRDefault="00CF28B7" w:rsidP="00CF28B7">
      <w:pPr>
        <w:rPr>
          <w:b/>
          <w:bCs/>
        </w:rPr>
      </w:pPr>
      <w:r w:rsidRPr="00CF28B7">
        <w:rPr>
          <w:b/>
          <w:bCs/>
        </w:rPr>
        <w:t>Best Practices and Mistakes to Avoid</w:t>
      </w:r>
    </w:p>
    <w:p w14:paraId="2E1745D8" w14:textId="77777777" w:rsidR="00CF28B7" w:rsidRPr="00CF28B7" w:rsidRDefault="00CF28B7" w:rsidP="00CF28B7">
      <w:pPr>
        <w:rPr>
          <w:b/>
          <w:bCs/>
        </w:rPr>
      </w:pPr>
      <w:r w:rsidRPr="00CF28B7">
        <w:rPr>
          <w:b/>
          <w:bCs/>
        </w:rPr>
        <w:t>Critical Mistakes (Non-Negotiable)</w:t>
      </w:r>
    </w:p>
    <w:p w14:paraId="4DDF2BEF" w14:textId="77777777" w:rsidR="00CF28B7" w:rsidRPr="00CF28B7" w:rsidRDefault="00CF28B7" w:rsidP="00CF28B7">
      <w:pPr>
        <w:numPr>
          <w:ilvl w:val="0"/>
          <w:numId w:val="18"/>
        </w:numPr>
        <w:rPr>
          <w:b/>
          <w:bCs/>
        </w:rPr>
      </w:pPr>
      <w:r w:rsidRPr="00CF28B7">
        <w:rPr>
          <w:b/>
          <w:bCs/>
        </w:rPr>
        <w:t>Delaying Contact: Early legal involvement ensures proper medical documentation and evidence preservation.</w:t>
      </w:r>
    </w:p>
    <w:p w14:paraId="05A56012" w14:textId="77777777" w:rsidR="00CF28B7" w:rsidRPr="00CF28B7" w:rsidRDefault="00CF28B7" w:rsidP="00CF28B7">
      <w:pPr>
        <w:numPr>
          <w:ilvl w:val="0"/>
          <w:numId w:val="18"/>
        </w:numPr>
        <w:rPr>
          <w:b/>
          <w:bCs/>
        </w:rPr>
      </w:pPr>
      <w:r w:rsidRPr="00CF28B7">
        <w:rPr>
          <w:b/>
          <w:bCs/>
        </w:rPr>
        <w:t>Relying on Medical Providers for Advice: Following a birth or surgical injury, involved healthcare providers are not neutral sources of information regarding the family's options.</w:t>
      </w:r>
    </w:p>
    <w:p w14:paraId="346349C3" w14:textId="77777777" w:rsidR="00CF28B7" w:rsidRPr="00CF28B7" w:rsidRDefault="00CF28B7" w:rsidP="00CF28B7">
      <w:pPr>
        <w:numPr>
          <w:ilvl w:val="0"/>
          <w:numId w:val="18"/>
        </w:numPr>
        <w:rPr>
          <w:b/>
          <w:bCs/>
        </w:rPr>
      </w:pPr>
      <w:r w:rsidRPr="00CF28B7">
        <w:rPr>
          <w:b/>
          <w:bCs/>
        </w:rPr>
        <w:t>Hiring Based on Advertising: Billboards and commercials are not indicators of trial capability or substantive qualifications.</w:t>
      </w:r>
    </w:p>
    <w:p w14:paraId="601192A8" w14:textId="77777777" w:rsidR="00CF28B7" w:rsidRPr="00CF28B7" w:rsidRDefault="00CF28B7" w:rsidP="00CF28B7">
      <w:pPr>
        <w:rPr>
          <w:b/>
          <w:bCs/>
        </w:rPr>
      </w:pPr>
      <w:r w:rsidRPr="00CF28B7">
        <w:rPr>
          <w:b/>
          <w:bCs/>
        </w:rPr>
        <w:t>Financial Safeguards</w:t>
      </w:r>
    </w:p>
    <w:p w14:paraId="1D34288D" w14:textId="77777777" w:rsidR="00CF28B7" w:rsidRPr="00CF28B7" w:rsidRDefault="00CF28B7" w:rsidP="00CF28B7">
      <w:pPr>
        <w:numPr>
          <w:ilvl w:val="0"/>
          <w:numId w:val="19"/>
        </w:numPr>
        <w:rPr>
          <w:b/>
          <w:bCs/>
        </w:rPr>
      </w:pPr>
      <w:r w:rsidRPr="00CF28B7">
        <w:rPr>
          <w:b/>
          <w:bCs/>
        </w:rPr>
        <w:t>Contingency Fee Basis: Catastrophic, birth, burn, and surgical injury cases are typically handled with no upfront or out-of-pocket costs to the client.</w:t>
      </w:r>
    </w:p>
    <w:p w14:paraId="750463D0" w14:textId="77777777" w:rsidR="00CF28B7" w:rsidRPr="00CF28B7" w:rsidRDefault="00CF28B7" w:rsidP="00CF28B7">
      <w:pPr>
        <w:numPr>
          <w:ilvl w:val="0"/>
          <w:numId w:val="19"/>
        </w:numPr>
        <w:rPr>
          <w:b/>
          <w:bCs/>
        </w:rPr>
      </w:pPr>
      <w:r w:rsidRPr="00CF28B7">
        <w:rPr>
          <w:b/>
          <w:bCs/>
        </w:rPr>
        <w:t>Fee Collection: Attorney fees are collected only upon successful settlement or jury verdict; if there is no recovery, there is no fee.</w:t>
      </w:r>
    </w:p>
    <w:p w14:paraId="4190731F" w14:textId="77777777" w:rsidR="003F20B7" w:rsidRPr="00CF28B7" w:rsidRDefault="003F20B7" w:rsidP="00CF28B7"/>
    <w:sectPr w:rsidR="003F20B7" w:rsidRPr="00CF28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5B1E"/>
    <w:multiLevelType w:val="multilevel"/>
    <w:tmpl w:val="9BEC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2422E"/>
    <w:multiLevelType w:val="multilevel"/>
    <w:tmpl w:val="4754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145E9"/>
    <w:multiLevelType w:val="multilevel"/>
    <w:tmpl w:val="6FEC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704CA"/>
    <w:multiLevelType w:val="multilevel"/>
    <w:tmpl w:val="BD8E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4462D5"/>
    <w:multiLevelType w:val="multilevel"/>
    <w:tmpl w:val="C30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D68C2"/>
    <w:multiLevelType w:val="multilevel"/>
    <w:tmpl w:val="4918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9B32F2"/>
    <w:multiLevelType w:val="multilevel"/>
    <w:tmpl w:val="3DEE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ED0133"/>
    <w:multiLevelType w:val="multilevel"/>
    <w:tmpl w:val="4CCED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892ACA"/>
    <w:multiLevelType w:val="multilevel"/>
    <w:tmpl w:val="68CC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D02C28"/>
    <w:multiLevelType w:val="multilevel"/>
    <w:tmpl w:val="5AF2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F6BD5"/>
    <w:multiLevelType w:val="multilevel"/>
    <w:tmpl w:val="4BFE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C65335"/>
    <w:multiLevelType w:val="multilevel"/>
    <w:tmpl w:val="D7162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0B355D"/>
    <w:multiLevelType w:val="multilevel"/>
    <w:tmpl w:val="D828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69553C"/>
    <w:multiLevelType w:val="multilevel"/>
    <w:tmpl w:val="462A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10A14"/>
    <w:multiLevelType w:val="multilevel"/>
    <w:tmpl w:val="81A6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7326AD"/>
    <w:multiLevelType w:val="multilevel"/>
    <w:tmpl w:val="E4BA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375960"/>
    <w:multiLevelType w:val="multilevel"/>
    <w:tmpl w:val="FB58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921B38"/>
    <w:multiLevelType w:val="multilevel"/>
    <w:tmpl w:val="B34E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BA6803"/>
    <w:multiLevelType w:val="multilevel"/>
    <w:tmpl w:val="17D8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974579">
    <w:abstractNumId w:val="3"/>
  </w:num>
  <w:num w:numId="2" w16cid:durableId="1951887439">
    <w:abstractNumId w:val="18"/>
  </w:num>
  <w:num w:numId="3" w16cid:durableId="2077623770">
    <w:abstractNumId w:val="14"/>
  </w:num>
  <w:num w:numId="4" w16cid:durableId="772096872">
    <w:abstractNumId w:val="13"/>
  </w:num>
  <w:num w:numId="5" w16cid:durableId="1660504203">
    <w:abstractNumId w:val="7"/>
  </w:num>
  <w:num w:numId="6" w16cid:durableId="1831552788">
    <w:abstractNumId w:val="9"/>
  </w:num>
  <w:num w:numId="7" w16cid:durableId="792869472">
    <w:abstractNumId w:val="0"/>
  </w:num>
  <w:num w:numId="8" w16cid:durableId="2112506716">
    <w:abstractNumId w:val="5"/>
  </w:num>
  <w:num w:numId="9" w16cid:durableId="331834420">
    <w:abstractNumId w:val="12"/>
  </w:num>
  <w:num w:numId="10" w16cid:durableId="61102757">
    <w:abstractNumId w:val="16"/>
  </w:num>
  <w:num w:numId="11" w16cid:durableId="1422602304">
    <w:abstractNumId w:val="4"/>
  </w:num>
  <w:num w:numId="12" w16cid:durableId="167411562">
    <w:abstractNumId w:val="1"/>
  </w:num>
  <w:num w:numId="13" w16cid:durableId="456879887">
    <w:abstractNumId w:val="11"/>
  </w:num>
  <w:num w:numId="14" w16cid:durableId="1208834940">
    <w:abstractNumId w:val="15"/>
  </w:num>
  <w:num w:numId="15" w16cid:durableId="1764916489">
    <w:abstractNumId w:val="17"/>
  </w:num>
  <w:num w:numId="16" w16cid:durableId="425538254">
    <w:abstractNumId w:val="2"/>
  </w:num>
  <w:num w:numId="17" w16cid:durableId="246114845">
    <w:abstractNumId w:val="8"/>
  </w:num>
  <w:num w:numId="18" w16cid:durableId="1196845117">
    <w:abstractNumId w:val="6"/>
  </w:num>
  <w:num w:numId="19" w16cid:durableId="9666601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B52"/>
    <w:rsid w:val="00177B52"/>
    <w:rsid w:val="0019526E"/>
    <w:rsid w:val="0026565B"/>
    <w:rsid w:val="00293011"/>
    <w:rsid w:val="003F20B7"/>
    <w:rsid w:val="00573C61"/>
    <w:rsid w:val="00627845"/>
    <w:rsid w:val="00CF28B7"/>
    <w:rsid w:val="00E67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0726D"/>
  <w15:chartTrackingRefBased/>
  <w15:docId w15:val="{294E7093-623C-4E9E-95C9-22A9065A4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B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7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7B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B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B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B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7B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7B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B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B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B52"/>
    <w:rPr>
      <w:rFonts w:eastAsiaTheme="majorEastAsia" w:cstheme="majorBidi"/>
      <w:color w:val="272727" w:themeColor="text1" w:themeTint="D8"/>
    </w:rPr>
  </w:style>
  <w:style w:type="paragraph" w:styleId="Title">
    <w:name w:val="Title"/>
    <w:basedOn w:val="Normal"/>
    <w:next w:val="Normal"/>
    <w:link w:val="TitleChar"/>
    <w:uiPriority w:val="10"/>
    <w:qFormat/>
    <w:rsid w:val="00177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B52"/>
    <w:pPr>
      <w:spacing w:before="160"/>
      <w:jc w:val="center"/>
    </w:pPr>
    <w:rPr>
      <w:i/>
      <w:iCs/>
      <w:color w:val="404040" w:themeColor="text1" w:themeTint="BF"/>
    </w:rPr>
  </w:style>
  <w:style w:type="character" w:customStyle="1" w:styleId="QuoteChar">
    <w:name w:val="Quote Char"/>
    <w:basedOn w:val="DefaultParagraphFont"/>
    <w:link w:val="Quote"/>
    <w:uiPriority w:val="29"/>
    <w:rsid w:val="00177B52"/>
    <w:rPr>
      <w:i/>
      <w:iCs/>
      <w:color w:val="404040" w:themeColor="text1" w:themeTint="BF"/>
    </w:rPr>
  </w:style>
  <w:style w:type="paragraph" w:styleId="ListParagraph">
    <w:name w:val="List Paragraph"/>
    <w:basedOn w:val="Normal"/>
    <w:uiPriority w:val="34"/>
    <w:qFormat/>
    <w:rsid w:val="00177B52"/>
    <w:pPr>
      <w:ind w:left="720"/>
      <w:contextualSpacing/>
    </w:pPr>
  </w:style>
  <w:style w:type="character" w:styleId="IntenseEmphasis">
    <w:name w:val="Intense Emphasis"/>
    <w:basedOn w:val="DefaultParagraphFont"/>
    <w:uiPriority w:val="21"/>
    <w:qFormat/>
    <w:rsid w:val="00177B52"/>
    <w:rPr>
      <w:i/>
      <w:iCs/>
      <w:color w:val="0F4761" w:themeColor="accent1" w:themeShade="BF"/>
    </w:rPr>
  </w:style>
  <w:style w:type="paragraph" w:styleId="IntenseQuote">
    <w:name w:val="Intense Quote"/>
    <w:basedOn w:val="Normal"/>
    <w:next w:val="Normal"/>
    <w:link w:val="IntenseQuoteChar"/>
    <w:uiPriority w:val="30"/>
    <w:qFormat/>
    <w:rsid w:val="00177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B52"/>
    <w:rPr>
      <w:i/>
      <w:iCs/>
      <w:color w:val="0F4761" w:themeColor="accent1" w:themeShade="BF"/>
    </w:rPr>
  </w:style>
  <w:style w:type="character" w:styleId="IntenseReference">
    <w:name w:val="Intense Reference"/>
    <w:basedOn w:val="DefaultParagraphFont"/>
    <w:uiPriority w:val="32"/>
    <w:qFormat/>
    <w:rsid w:val="00177B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749</Words>
  <Characters>4410</Characters>
  <Application>Microsoft Office Word</Application>
  <DocSecurity>0</DocSecurity>
  <Lines>80</Lines>
  <Paragraphs>40</Paragraphs>
  <ScaleCrop>false</ScaleCrop>
  <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Grant</dc:creator>
  <cp:keywords/>
  <dc:description/>
  <cp:lastModifiedBy>Heather Granbois</cp:lastModifiedBy>
  <cp:revision>3</cp:revision>
  <dcterms:created xsi:type="dcterms:W3CDTF">2026-03-06T20:55:00Z</dcterms:created>
  <dcterms:modified xsi:type="dcterms:W3CDTF">2026-03-09T18:35:00Z</dcterms:modified>
</cp:coreProperties>
</file>