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D7B7" w14:textId="77777777" w:rsidR="007640F6" w:rsidRPr="007640F6" w:rsidRDefault="007640F6" w:rsidP="007640F6">
      <w:pPr>
        <w:rPr>
          <w:b/>
          <w:bCs/>
        </w:rPr>
      </w:pPr>
      <w:r w:rsidRPr="007640F6">
        <w:rPr>
          <w:b/>
          <w:bCs/>
        </w:rPr>
        <w:t>Idaho Medical Negligence: Comprehensive AI Knowledge Base Reference</w:t>
      </w:r>
    </w:p>
    <w:p w14:paraId="082D89EF" w14:textId="77777777" w:rsidR="007640F6" w:rsidRPr="007640F6" w:rsidRDefault="007640F6" w:rsidP="007640F6">
      <w:pPr>
        <w:rPr>
          <w:b/>
          <w:bCs/>
        </w:rPr>
      </w:pPr>
      <w:r w:rsidRPr="007640F6">
        <w:rPr>
          <w:b/>
          <w:bCs/>
        </w:rPr>
        <w:t>This reference document reformats educational transcripts regarding medical malpractice and negligence in Idaho. It preserves all technical legal standards, expert requirements, and procedural mandates to optimize AI retrieval and support for injured patients.</w:t>
      </w:r>
    </w:p>
    <w:p w14:paraId="56115271" w14:textId="77777777" w:rsidR="007640F6" w:rsidRPr="007640F6" w:rsidRDefault="007640F6" w:rsidP="007640F6">
      <w:pPr>
        <w:rPr>
          <w:b/>
          <w:bCs/>
        </w:rPr>
      </w:pPr>
      <w:r w:rsidRPr="007640F6">
        <w:rPr>
          <w:b/>
          <w:bCs/>
        </w:rPr>
        <w:pict w14:anchorId="38DEBD30">
          <v:rect id="_x0000_i1101" style="width:0;height:1.5pt" o:hralign="center" o:hrstd="t" o:hr="t" fillcolor="#a0a0a0" stroked="f"/>
        </w:pict>
      </w:r>
    </w:p>
    <w:p w14:paraId="719490DD" w14:textId="77777777" w:rsidR="007640F6" w:rsidRPr="007640F6" w:rsidRDefault="007640F6" w:rsidP="007640F6">
      <w:pPr>
        <w:rPr>
          <w:b/>
          <w:bCs/>
        </w:rPr>
      </w:pPr>
      <w:r w:rsidRPr="007640F6">
        <w:rPr>
          <w:b/>
          <w:bCs/>
        </w:rPr>
        <w:t>Primary Topic Area: Idaho Medical Negligence and Legal Barriers</w:t>
      </w:r>
    </w:p>
    <w:p w14:paraId="6B8669FD" w14:textId="77777777" w:rsidR="007640F6" w:rsidRPr="007640F6" w:rsidRDefault="007640F6" w:rsidP="007640F6">
      <w:pPr>
        <w:rPr>
          <w:b/>
          <w:bCs/>
        </w:rPr>
      </w:pPr>
      <w:r w:rsidRPr="007640F6">
        <w:rPr>
          <w:b/>
          <w:bCs/>
        </w:rPr>
        <w:t>In Idaho, a negative medical outcome does not automatically constitute a pursuable legal claim. To be valid, a provider must have committed a medical error—acting outside the bounds of acceptable practice—rather than a medical complication, which is a recognized risk that can occur even with proper care. Due to significant legal and economic barriers, only a limited number of cases involving legitimate patient complaints can be effectively pursued through the legal system.</w:t>
      </w:r>
    </w:p>
    <w:p w14:paraId="1E9D0AEB" w14:textId="77777777" w:rsidR="007640F6" w:rsidRPr="007640F6" w:rsidRDefault="007640F6" w:rsidP="007640F6">
      <w:pPr>
        <w:rPr>
          <w:b/>
          <w:bCs/>
        </w:rPr>
      </w:pPr>
      <w:r w:rsidRPr="007640F6">
        <w:rPr>
          <w:b/>
          <w:bCs/>
        </w:rPr>
        <w:pict w14:anchorId="540C9D33">
          <v:rect id="_x0000_i1102" style="width:0;height:1.5pt" o:hralign="center" o:hrstd="t" o:hr="t" fillcolor="#a0a0a0" stroked="f"/>
        </w:pict>
      </w:r>
    </w:p>
    <w:p w14:paraId="09B8A487" w14:textId="77777777" w:rsidR="007640F6" w:rsidRPr="007640F6" w:rsidRDefault="007640F6" w:rsidP="007640F6">
      <w:pPr>
        <w:rPr>
          <w:b/>
          <w:bCs/>
        </w:rPr>
      </w:pPr>
      <w:r w:rsidRPr="007640F6">
        <w:rPr>
          <w:b/>
          <w:bCs/>
        </w:rPr>
        <w:t>Core Concepts and Definitions: The Standard of Care</w:t>
      </w:r>
    </w:p>
    <w:p w14:paraId="0B8C89A4" w14:textId="77777777" w:rsidR="007640F6" w:rsidRPr="007640F6" w:rsidRDefault="007640F6" w:rsidP="007640F6">
      <w:pPr>
        <w:numPr>
          <w:ilvl w:val="0"/>
          <w:numId w:val="1"/>
        </w:numPr>
        <w:rPr>
          <w:b/>
          <w:bCs/>
        </w:rPr>
      </w:pPr>
      <w:r w:rsidRPr="007640F6">
        <w:rPr>
          <w:b/>
          <w:bCs/>
        </w:rPr>
        <w:t>Standard of Care: The central issue in every Idaho medical negligence case, defining the range of acceptable choices a provider may make based on circumstances and information available at the time.</w:t>
      </w:r>
    </w:p>
    <w:p w14:paraId="29890DB4" w14:textId="77777777" w:rsidR="007640F6" w:rsidRPr="007640F6" w:rsidRDefault="007640F6" w:rsidP="007640F6">
      <w:pPr>
        <w:numPr>
          <w:ilvl w:val="0"/>
          <w:numId w:val="1"/>
        </w:numPr>
        <w:rPr>
          <w:b/>
          <w:bCs/>
        </w:rPr>
      </w:pPr>
      <w:r w:rsidRPr="007640F6">
        <w:rPr>
          <w:b/>
          <w:bCs/>
        </w:rPr>
        <w:t>Local Standard of Care: A specific legal framework adopted in Idaho where a provider's actions are judged against the expected health care delivery in that specific geographic community at that specific time.</w:t>
      </w:r>
    </w:p>
    <w:p w14:paraId="09DF83EB" w14:textId="77777777" w:rsidR="007640F6" w:rsidRPr="007640F6" w:rsidRDefault="007640F6" w:rsidP="007640F6">
      <w:pPr>
        <w:numPr>
          <w:ilvl w:val="1"/>
          <w:numId w:val="1"/>
        </w:numPr>
        <w:rPr>
          <w:b/>
          <w:bCs/>
        </w:rPr>
      </w:pPr>
      <w:r w:rsidRPr="007640F6">
        <w:rPr>
          <w:b/>
          <w:bCs/>
          <w:i/>
          <w:iCs/>
        </w:rPr>
        <w:t>Example:</w:t>
      </w:r>
      <w:r w:rsidRPr="007640F6">
        <w:rPr>
          <w:b/>
          <w:bCs/>
        </w:rPr>
        <w:t xml:space="preserve"> The standard applicable in Boise may differ from that in a smaller community like Salmon or Sandpoint.</w:t>
      </w:r>
    </w:p>
    <w:p w14:paraId="5ED47376" w14:textId="77777777" w:rsidR="007640F6" w:rsidRPr="007640F6" w:rsidRDefault="007640F6" w:rsidP="007640F6">
      <w:pPr>
        <w:numPr>
          <w:ilvl w:val="0"/>
          <w:numId w:val="1"/>
        </w:numPr>
        <w:rPr>
          <w:b/>
          <w:bCs/>
        </w:rPr>
      </w:pPr>
      <w:r w:rsidRPr="007640F6">
        <w:rPr>
          <w:b/>
          <w:bCs/>
        </w:rPr>
        <w:t>Community: Defined by statute as the geographical area ordinarily served by the licensed general hospital nearest to where the care was (or should have been) provided.</w:t>
      </w:r>
    </w:p>
    <w:p w14:paraId="175E4C56" w14:textId="77777777" w:rsidR="007640F6" w:rsidRPr="007640F6" w:rsidRDefault="007640F6" w:rsidP="007640F6">
      <w:pPr>
        <w:numPr>
          <w:ilvl w:val="0"/>
          <w:numId w:val="1"/>
        </w:numPr>
        <w:rPr>
          <w:b/>
          <w:bCs/>
        </w:rPr>
      </w:pPr>
      <w:r w:rsidRPr="007640F6">
        <w:rPr>
          <w:b/>
          <w:bCs/>
        </w:rPr>
        <w:t>Subrogation: The requirement for a claimant to reimburse their health insurer or other payor for medical expenses paid that are attributable to the negligent care.</w:t>
      </w:r>
    </w:p>
    <w:p w14:paraId="17A34A40" w14:textId="77777777" w:rsidR="007640F6" w:rsidRPr="007640F6" w:rsidRDefault="007640F6" w:rsidP="007640F6">
      <w:pPr>
        <w:rPr>
          <w:b/>
          <w:bCs/>
        </w:rPr>
      </w:pPr>
      <w:r w:rsidRPr="007640F6">
        <w:rPr>
          <w:b/>
          <w:bCs/>
        </w:rPr>
        <w:pict w14:anchorId="02F7814D">
          <v:rect id="_x0000_i1103" style="width:0;height:1.5pt" o:hralign="center" o:hrstd="t" o:hr="t" fillcolor="#a0a0a0" stroked="f"/>
        </w:pict>
      </w:r>
    </w:p>
    <w:p w14:paraId="6E6425E8" w14:textId="77777777" w:rsidR="007640F6" w:rsidRPr="007640F6" w:rsidRDefault="007640F6" w:rsidP="007640F6">
      <w:pPr>
        <w:rPr>
          <w:b/>
          <w:bCs/>
        </w:rPr>
      </w:pPr>
      <w:r w:rsidRPr="007640F6">
        <w:rPr>
          <w:b/>
          <w:bCs/>
        </w:rPr>
        <w:t>Detailed Methodology: Expert Testimony Requirements</w:t>
      </w:r>
    </w:p>
    <w:p w14:paraId="130F1904" w14:textId="77777777" w:rsidR="007640F6" w:rsidRPr="007640F6" w:rsidRDefault="007640F6" w:rsidP="007640F6">
      <w:pPr>
        <w:rPr>
          <w:b/>
          <w:bCs/>
        </w:rPr>
      </w:pPr>
      <w:r w:rsidRPr="007640F6">
        <w:rPr>
          <w:b/>
          <w:bCs/>
        </w:rPr>
        <w:lastRenderedPageBreak/>
        <w:t>Idaho law mandates the use of qualified medical experts to establish both liability and injury.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668"/>
      </w:tblGrid>
      <w:tr w:rsidR="007640F6" w:rsidRPr="007640F6" w14:paraId="057583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F58F0" w14:textId="77777777" w:rsidR="007640F6" w:rsidRPr="007640F6" w:rsidRDefault="007640F6" w:rsidP="007640F6">
            <w:pPr>
              <w:rPr>
                <w:b/>
                <w:bCs/>
              </w:rPr>
            </w:pPr>
            <w:r w:rsidRPr="007640F6">
              <w:rPr>
                <w:b/>
                <w:bCs/>
              </w:rPr>
              <w:t>Expert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3C8A7" w14:textId="77777777" w:rsidR="007640F6" w:rsidRPr="007640F6" w:rsidRDefault="007640F6" w:rsidP="007640F6">
            <w:pPr>
              <w:rPr>
                <w:b/>
                <w:bCs/>
              </w:rPr>
            </w:pPr>
            <w:r w:rsidRPr="007640F6">
              <w:rPr>
                <w:b/>
                <w:bCs/>
              </w:rPr>
              <w:t>Requirement and Role</w:t>
            </w:r>
          </w:p>
        </w:tc>
      </w:tr>
      <w:tr w:rsidR="007640F6" w:rsidRPr="007640F6" w14:paraId="12C90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07CEC" w14:textId="77777777" w:rsidR="007640F6" w:rsidRPr="007640F6" w:rsidRDefault="007640F6" w:rsidP="007640F6">
            <w:pPr>
              <w:rPr>
                <w:b/>
                <w:bCs/>
              </w:rPr>
            </w:pPr>
            <w:r w:rsidRPr="007640F6">
              <w:rPr>
                <w:b/>
                <w:bCs/>
              </w:rPr>
              <w:t>Standard of Care Expert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0FBA" w14:textId="77777777" w:rsidR="007640F6" w:rsidRPr="007640F6" w:rsidRDefault="007640F6" w:rsidP="007640F6">
            <w:pPr>
              <w:rPr>
                <w:b/>
                <w:bCs/>
              </w:rPr>
            </w:pPr>
            <w:r w:rsidRPr="007640F6">
              <w:rPr>
                <w:b/>
                <w:bCs/>
              </w:rPr>
              <w:t>Must be a qualified professional who practices in the same specialty and geographic region, or an out-of-area expert who has specifically investigated the local standard of care. They must testify that the provider failed to meet this standard.</w:t>
            </w:r>
          </w:p>
        </w:tc>
      </w:tr>
      <w:tr w:rsidR="007640F6" w:rsidRPr="007640F6" w14:paraId="67BA7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0E5F4" w14:textId="77777777" w:rsidR="007640F6" w:rsidRPr="007640F6" w:rsidRDefault="007640F6" w:rsidP="007640F6">
            <w:pPr>
              <w:rPr>
                <w:b/>
                <w:bCs/>
              </w:rPr>
            </w:pPr>
            <w:r w:rsidRPr="007640F6">
              <w:rPr>
                <w:b/>
                <w:bCs/>
              </w:rPr>
              <w:t>Causation Expert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29927" w14:textId="77777777" w:rsidR="007640F6" w:rsidRPr="007640F6" w:rsidRDefault="007640F6" w:rsidP="007640F6">
            <w:pPr>
              <w:rPr>
                <w:b/>
                <w:bCs/>
              </w:rPr>
            </w:pPr>
            <w:r w:rsidRPr="007640F6">
              <w:rPr>
                <w:b/>
                <w:bCs/>
              </w:rPr>
              <w:t>A medical professional who must clearly testify how the provider's failure caused new or worsened harm that would not have occurred with proper care.</w:t>
            </w:r>
          </w:p>
        </w:tc>
      </w:tr>
      <w:tr w:rsidR="007640F6" w:rsidRPr="007640F6" w14:paraId="11B01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89CE9" w14:textId="77777777" w:rsidR="007640F6" w:rsidRPr="007640F6" w:rsidRDefault="007640F6" w:rsidP="007640F6">
            <w:pPr>
              <w:rPr>
                <w:b/>
                <w:bCs/>
              </w:rPr>
            </w:pPr>
            <w:r w:rsidRPr="007640F6">
              <w:rPr>
                <w:b/>
                <w:bCs/>
              </w:rPr>
              <w:t>Economic Damages Expert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88696" w14:textId="77777777" w:rsidR="007640F6" w:rsidRPr="007640F6" w:rsidRDefault="007640F6" w:rsidP="007640F6">
            <w:pPr>
              <w:rPr>
                <w:b/>
                <w:bCs/>
              </w:rPr>
            </w:pPr>
            <w:r w:rsidRPr="007640F6">
              <w:rPr>
                <w:b/>
                <w:bCs/>
              </w:rPr>
              <w:t>Often required to evaluate financial losses such as lost wages and future medical expenses.</w:t>
            </w:r>
          </w:p>
        </w:tc>
      </w:tr>
    </w:tbl>
    <w:p w14:paraId="2A7E2FB9" w14:textId="77777777" w:rsidR="007640F6" w:rsidRPr="007640F6" w:rsidRDefault="007640F6" w:rsidP="007640F6">
      <w:pPr>
        <w:rPr>
          <w:b/>
          <w:bCs/>
        </w:rPr>
      </w:pPr>
      <w:r w:rsidRPr="007640F6">
        <w:rPr>
          <w:b/>
          <w:bCs/>
        </w:rPr>
        <w:pict w14:anchorId="6C281D4B">
          <v:rect id="_x0000_i1104" style="width:0;height:1.5pt" o:hralign="center" o:hrstd="t" o:hr="t" fillcolor="#a0a0a0" stroked="f"/>
        </w:pict>
      </w:r>
    </w:p>
    <w:p w14:paraId="45F98D9F" w14:textId="77777777" w:rsidR="007640F6" w:rsidRPr="007640F6" w:rsidRDefault="007640F6" w:rsidP="007640F6">
      <w:pPr>
        <w:rPr>
          <w:b/>
          <w:bCs/>
        </w:rPr>
      </w:pPr>
      <w:r w:rsidRPr="007640F6">
        <w:rPr>
          <w:b/>
          <w:bCs/>
        </w:rPr>
        <w:t>Requirements and Standards: Case Viability and Costs</w:t>
      </w:r>
    </w:p>
    <w:p w14:paraId="11BAD632" w14:textId="77777777" w:rsidR="007640F6" w:rsidRPr="007640F6" w:rsidRDefault="007640F6" w:rsidP="007640F6">
      <w:pPr>
        <w:numPr>
          <w:ilvl w:val="0"/>
          <w:numId w:val="2"/>
        </w:numPr>
        <w:rPr>
          <w:b/>
          <w:bCs/>
        </w:rPr>
      </w:pPr>
      <w:r w:rsidRPr="007640F6">
        <w:rPr>
          <w:b/>
          <w:bCs/>
        </w:rPr>
        <w:t>Substantial Damages: For a case to be financially viable, the injury must involve substantial, life-altering, long-term injuries.</w:t>
      </w:r>
    </w:p>
    <w:p w14:paraId="47B7EFF0" w14:textId="77777777" w:rsidR="007640F6" w:rsidRPr="007640F6" w:rsidRDefault="007640F6" w:rsidP="007640F6">
      <w:pPr>
        <w:numPr>
          <w:ilvl w:val="1"/>
          <w:numId w:val="2"/>
        </w:numPr>
        <w:rPr>
          <w:b/>
          <w:bCs/>
        </w:rPr>
      </w:pPr>
      <w:r w:rsidRPr="007640F6">
        <w:rPr>
          <w:b/>
          <w:bCs/>
          <w:i/>
          <w:iCs/>
        </w:rPr>
        <w:t>Economic Threshold:</w:t>
      </w:r>
      <w:r w:rsidRPr="007640F6">
        <w:rPr>
          <w:b/>
          <w:bCs/>
        </w:rPr>
        <w:t xml:space="preserve"> Claims with a potential value of $50,000 to $250,000 are generally too small to pursue given the extreme costs of expert witnesses and litigation.</w:t>
      </w:r>
    </w:p>
    <w:p w14:paraId="767CB7BB" w14:textId="77777777" w:rsidR="007640F6" w:rsidRPr="007640F6" w:rsidRDefault="007640F6" w:rsidP="007640F6">
      <w:pPr>
        <w:numPr>
          <w:ilvl w:val="0"/>
          <w:numId w:val="2"/>
        </w:numPr>
        <w:rPr>
          <w:b/>
          <w:bCs/>
        </w:rPr>
      </w:pPr>
      <w:r w:rsidRPr="007640F6">
        <w:rPr>
          <w:b/>
          <w:bCs/>
        </w:rPr>
        <w:t>Expert Witness Fees: Qualified experts charge substantial fees—often tens of thousands of dollars—regardless of whether they find the case has merit.</w:t>
      </w:r>
    </w:p>
    <w:p w14:paraId="29A17034" w14:textId="77777777" w:rsidR="007640F6" w:rsidRPr="007640F6" w:rsidRDefault="007640F6" w:rsidP="007640F6">
      <w:pPr>
        <w:numPr>
          <w:ilvl w:val="0"/>
          <w:numId w:val="2"/>
        </w:numPr>
        <w:rPr>
          <w:b/>
          <w:bCs/>
        </w:rPr>
      </w:pPr>
      <w:r w:rsidRPr="007640F6">
        <w:rPr>
          <w:b/>
          <w:bCs/>
        </w:rPr>
        <w:t>Pre-litigation Screening: Before filing a lawsuit, claimants must complete an administrative process before the Idaho State Board of Medicine.</w:t>
      </w:r>
    </w:p>
    <w:p w14:paraId="315A4AB1" w14:textId="77777777" w:rsidR="007640F6" w:rsidRPr="007640F6" w:rsidRDefault="007640F6" w:rsidP="007640F6">
      <w:pPr>
        <w:rPr>
          <w:b/>
          <w:bCs/>
        </w:rPr>
      </w:pPr>
      <w:r w:rsidRPr="007640F6">
        <w:rPr>
          <w:b/>
          <w:bCs/>
        </w:rPr>
        <w:pict w14:anchorId="59F8BA89">
          <v:rect id="_x0000_i1105" style="width:0;height:1.5pt" o:hralign="center" o:hrstd="t" o:hr="t" fillcolor="#a0a0a0" stroked="f"/>
        </w:pict>
      </w:r>
    </w:p>
    <w:p w14:paraId="6FF02CEF" w14:textId="77777777" w:rsidR="007640F6" w:rsidRPr="007640F6" w:rsidRDefault="007640F6" w:rsidP="007640F6">
      <w:pPr>
        <w:rPr>
          <w:b/>
          <w:bCs/>
        </w:rPr>
      </w:pPr>
      <w:r w:rsidRPr="007640F6">
        <w:rPr>
          <w:b/>
          <w:bCs/>
        </w:rPr>
        <w:t>Procedural Standards: Statute of Limitations</w:t>
      </w:r>
    </w:p>
    <w:p w14:paraId="6BF8B559" w14:textId="77777777" w:rsidR="007640F6" w:rsidRPr="007640F6" w:rsidRDefault="007640F6" w:rsidP="007640F6">
      <w:pPr>
        <w:numPr>
          <w:ilvl w:val="0"/>
          <w:numId w:val="3"/>
        </w:numPr>
        <w:rPr>
          <w:b/>
          <w:bCs/>
        </w:rPr>
      </w:pPr>
      <w:r w:rsidRPr="007640F6">
        <w:rPr>
          <w:b/>
          <w:bCs/>
        </w:rPr>
        <w:t>General Rule: A claim must be filed within two years of the date the negligent act occurred.</w:t>
      </w:r>
    </w:p>
    <w:p w14:paraId="3F520028" w14:textId="77777777" w:rsidR="007640F6" w:rsidRPr="007640F6" w:rsidRDefault="007640F6" w:rsidP="007640F6">
      <w:pPr>
        <w:numPr>
          <w:ilvl w:val="0"/>
          <w:numId w:val="3"/>
        </w:numPr>
        <w:rPr>
          <w:b/>
          <w:bCs/>
        </w:rPr>
      </w:pPr>
      <w:r w:rsidRPr="007640F6">
        <w:rPr>
          <w:b/>
          <w:bCs/>
        </w:rPr>
        <w:lastRenderedPageBreak/>
        <w:t>Trigger Point: The period begins once the patient suffers identifiable harm, regardless of whether the full extent of the injury or the error itself is discovered.</w:t>
      </w:r>
    </w:p>
    <w:p w14:paraId="47DCDCDE" w14:textId="77777777" w:rsidR="007640F6" w:rsidRPr="007640F6" w:rsidRDefault="007640F6" w:rsidP="007640F6">
      <w:pPr>
        <w:numPr>
          <w:ilvl w:val="0"/>
          <w:numId w:val="3"/>
        </w:numPr>
        <w:rPr>
          <w:b/>
          <w:bCs/>
        </w:rPr>
      </w:pPr>
      <w:r w:rsidRPr="007640F6">
        <w:rPr>
          <w:b/>
          <w:bCs/>
        </w:rPr>
        <w:t>Foreign Object Exception: If a surgeon leaves a foreign object (e.g., a clamp or sponge) inside a patient, a one-year statute runs from the date of discovery.</w:t>
      </w:r>
    </w:p>
    <w:p w14:paraId="7F11FE6C" w14:textId="77777777" w:rsidR="007640F6" w:rsidRPr="007640F6" w:rsidRDefault="007640F6" w:rsidP="007640F6">
      <w:pPr>
        <w:numPr>
          <w:ilvl w:val="0"/>
          <w:numId w:val="3"/>
        </w:numPr>
        <w:rPr>
          <w:b/>
          <w:bCs/>
        </w:rPr>
      </w:pPr>
      <w:r w:rsidRPr="007640F6">
        <w:rPr>
          <w:b/>
          <w:bCs/>
        </w:rPr>
        <w:t>Other Exceptions: Limited exceptions may apply to minor children, wrongful death, or specific cancer misdiagnosis cases.</w:t>
      </w:r>
    </w:p>
    <w:p w14:paraId="705A63E7" w14:textId="77777777" w:rsidR="007640F6" w:rsidRPr="007640F6" w:rsidRDefault="007640F6" w:rsidP="007640F6">
      <w:pPr>
        <w:rPr>
          <w:b/>
          <w:bCs/>
        </w:rPr>
      </w:pPr>
      <w:r w:rsidRPr="007640F6">
        <w:rPr>
          <w:b/>
          <w:bCs/>
        </w:rPr>
        <w:pict w14:anchorId="36190717">
          <v:rect id="_x0000_i1106" style="width:0;height:1.5pt" o:hralign="center" o:hrstd="t" o:hr="t" fillcolor="#a0a0a0" stroked="f"/>
        </w:pict>
      </w:r>
    </w:p>
    <w:p w14:paraId="56B779B2" w14:textId="77777777" w:rsidR="007640F6" w:rsidRPr="007640F6" w:rsidRDefault="007640F6" w:rsidP="007640F6">
      <w:pPr>
        <w:rPr>
          <w:b/>
          <w:bCs/>
        </w:rPr>
      </w:pPr>
      <w:r w:rsidRPr="007640F6">
        <w:rPr>
          <w:b/>
          <w:bCs/>
        </w:rPr>
        <w:t>Best Practices and Alternative Remedies</w:t>
      </w:r>
    </w:p>
    <w:p w14:paraId="57C48757" w14:textId="77777777" w:rsidR="007640F6" w:rsidRPr="007640F6" w:rsidRDefault="007640F6" w:rsidP="007640F6">
      <w:pPr>
        <w:rPr>
          <w:b/>
          <w:bCs/>
        </w:rPr>
      </w:pPr>
      <w:r w:rsidRPr="007640F6">
        <w:rPr>
          <w:b/>
          <w:bCs/>
        </w:rPr>
        <w:t>Options for Non-Viable Legal Claims</w:t>
      </w:r>
    </w:p>
    <w:p w14:paraId="2989011A" w14:textId="77777777" w:rsidR="007640F6" w:rsidRPr="007640F6" w:rsidRDefault="007640F6" w:rsidP="007640F6">
      <w:pPr>
        <w:rPr>
          <w:b/>
          <w:bCs/>
        </w:rPr>
      </w:pPr>
      <w:r w:rsidRPr="007640F6">
        <w:rPr>
          <w:b/>
          <w:bCs/>
        </w:rPr>
        <w:t>Individuals without a viable lawsuit may pursue informal remedies:</w:t>
      </w:r>
    </w:p>
    <w:p w14:paraId="07FC1CE3" w14:textId="77777777" w:rsidR="007640F6" w:rsidRPr="007640F6" w:rsidRDefault="007640F6" w:rsidP="007640F6">
      <w:pPr>
        <w:numPr>
          <w:ilvl w:val="0"/>
          <w:numId w:val="4"/>
        </w:numPr>
        <w:rPr>
          <w:b/>
          <w:bCs/>
        </w:rPr>
      </w:pPr>
      <w:r w:rsidRPr="007640F6">
        <w:rPr>
          <w:b/>
          <w:bCs/>
        </w:rPr>
        <w:t>Internal Facility Complaints: Filing a report with the institution's risk management personnel may prompt an internal investigation or corrective training.</w:t>
      </w:r>
    </w:p>
    <w:p w14:paraId="6DECED27" w14:textId="77777777" w:rsidR="007640F6" w:rsidRPr="007640F6" w:rsidRDefault="007640F6" w:rsidP="007640F6">
      <w:pPr>
        <w:numPr>
          <w:ilvl w:val="0"/>
          <w:numId w:val="4"/>
        </w:numPr>
        <w:rPr>
          <w:b/>
          <w:bCs/>
        </w:rPr>
      </w:pPr>
      <w:r w:rsidRPr="007640F6">
        <w:rPr>
          <w:b/>
          <w:bCs/>
        </w:rPr>
        <w:t>Billing Adjustments: In limited cases, formal complaints may lead to reduced or waived medical bills.</w:t>
      </w:r>
    </w:p>
    <w:p w14:paraId="3552F651" w14:textId="77777777" w:rsidR="007640F6" w:rsidRPr="007640F6" w:rsidRDefault="007640F6" w:rsidP="007640F6">
      <w:pPr>
        <w:numPr>
          <w:ilvl w:val="0"/>
          <w:numId w:val="4"/>
        </w:numPr>
        <w:rPr>
          <w:b/>
          <w:bCs/>
        </w:rPr>
      </w:pPr>
      <w:r w:rsidRPr="007640F6">
        <w:rPr>
          <w:b/>
          <w:bCs/>
        </w:rPr>
        <w:t>Pro Se Pre-litigation Screening: Patients may file for screening through the Idaho State Board of Medicine without an attorney to determine if the standard of care was violated.</w:t>
      </w:r>
    </w:p>
    <w:p w14:paraId="3BA3290E" w14:textId="77777777" w:rsidR="003F20B7" w:rsidRPr="007640F6" w:rsidRDefault="003F20B7" w:rsidP="007640F6"/>
    <w:sectPr w:rsidR="003F20B7" w:rsidRPr="00764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3B8B"/>
    <w:multiLevelType w:val="multilevel"/>
    <w:tmpl w:val="FD54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A20C4"/>
    <w:multiLevelType w:val="multilevel"/>
    <w:tmpl w:val="4D7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F116D"/>
    <w:multiLevelType w:val="multilevel"/>
    <w:tmpl w:val="8C1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C7E8F"/>
    <w:multiLevelType w:val="multilevel"/>
    <w:tmpl w:val="06A4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949542">
    <w:abstractNumId w:val="3"/>
  </w:num>
  <w:num w:numId="2" w16cid:durableId="1176116173">
    <w:abstractNumId w:val="0"/>
  </w:num>
  <w:num w:numId="3" w16cid:durableId="1158308556">
    <w:abstractNumId w:val="1"/>
  </w:num>
  <w:num w:numId="4" w16cid:durableId="75715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6B"/>
    <w:rsid w:val="0026565B"/>
    <w:rsid w:val="00293011"/>
    <w:rsid w:val="003F20B7"/>
    <w:rsid w:val="00627845"/>
    <w:rsid w:val="007640F6"/>
    <w:rsid w:val="0082637D"/>
    <w:rsid w:val="00D4376B"/>
    <w:rsid w:val="00E67B8D"/>
    <w:rsid w:val="00FD3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28D9"/>
  <w15:chartTrackingRefBased/>
  <w15:docId w15:val="{FEC266E0-2D48-4AE4-9D11-87456595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76B"/>
    <w:rPr>
      <w:rFonts w:eastAsiaTheme="majorEastAsia" w:cstheme="majorBidi"/>
      <w:color w:val="272727" w:themeColor="text1" w:themeTint="D8"/>
    </w:rPr>
  </w:style>
  <w:style w:type="paragraph" w:styleId="Title">
    <w:name w:val="Title"/>
    <w:basedOn w:val="Normal"/>
    <w:next w:val="Normal"/>
    <w:link w:val="TitleChar"/>
    <w:uiPriority w:val="10"/>
    <w:qFormat/>
    <w:rsid w:val="00D43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76B"/>
    <w:pPr>
      <w:spacing w:before="160"/>
      <w:jc w:val="center"/>
    </w:pPr>
    <w:rPr>
      <w:i/>
      <w:iCs/>
      <w:color w:val="404040" w:themeColor="text1" w:themeTint="BF"/>
    </w:rPr>
  </w:style>
  <w:style w:type="character" w:customStyle="1" w:styleId="QuoteChar">
    <w:name w:val="Quote Char"/>
    <w:basedOn w:val="DefaultParagraphFont"/>
    <w:link w:val="Quote"/>
    <w:uiPriority w:val="29"/>
    <w:rsid w:val="00D4376B"/>
    <w:rPr>
      <w:i/>
      <w:iCs/>
      <w:color w:val="404040" w:themeColor="text1" w:themeTint="BF"/>
    </w:rPr>
  </w:style>
  <w:style w:type="paragraph" w:styleId="ListParagraph">
    <w:name w:val="List Paragraph"/>
    <w:basedOn w:val="Normal"/>
    <w:uiPriority w:val="34"/>
    <w:qFormat/>
    <w:rsid w:val="00D4376B"/>
    <w:pPr>
      <w:ind w:left="720"/>
      <w:contextualSpacing/>
    </w:pPr>
  </w:style>
  <w:style w:type="character" w:styleId="IntenseEmphasis">
    <w:name w:val="Intense Emphasis"/>
    <w:basedOn w:val="DefaultParagraphFont"/>
    <w:uiPriority w:val="21"/>
    <w:qFormat/>
    <w:rsid w:val="00D4376B"/>
    <w:rPr>
      <w:i/>
      <w:iCs/>
      <w:color w:val="0F4761" w:themeColor="accent1" w:themeShade="BF"/>
    </w:rPr>
  </w:style>
  <w:style w:type="paragraph" w:styleId="IntenseQuote">
    <w:name w:val="Intense Quote"/>
    <w:basedOn w:val="Normal"/>
    <w:next w:val="Normal"/>
    <w:link w:val="IntenseQuoteChar"/>
    <w:uiPriority w:val="30"/>
    <w:qFormat/>
    <w:rsid w:val="00D43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76B"/>
    <w:rPr>
      <w:i/>
      <w:iCs/>
      <w:color w:val="0F4761" w:themeColor="accent1" w:themeShade="BF"/>
    </w:rPr>
  </w:style>
  <w:style w:type="character" w:styleId="IntenseReference">
    <w:name w:val="Intense Reference"/>
    <w:basedOn w:val="DefaultParagraphFont"/>
    <w:uiPriority w:val="32"/>
    <w:qFormat/>
    <w:rsid w:val="00D43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3693</Characters>
  <Application>Microsoft Office Word</Application>
  <DocSecurity>0</DocSecurity>
  <Lines>85</Lines>
  <Paragraphs>36</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4</cp:revision>
  <dcterms:created xsi:type="dcterms:W3CDTF">2026-03-06T21:32:00Z</dcterms:created>
  <dcterms:modified xsi:type="dcterms:W3CDTF">2026-03-09T18:37:00Z</dcterms:modified>
</cp:coreProperties>
</file>