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02ED" w14:textId="77777777" w:rsidR="00041D45" w:rsidRPr="00041D45" w:rsidRDefault="00041D45" w:rsidP="00041D45">
      <w:pPr>
        <w:rPr>
          <w:b/>
          <w:bCs/>
        </w:rPr>
      </w:pPr>
      <w:r w:rsidRPr="00041D45">
        <w:rPr>
          <w:b/>
          <w:bCs/>
        </w:rPr>
        <w:t>Idaho Motorcycle Injury: Comprehensive AI Knowledge Base Reference</w:t>
      </w:r>
    </w:p>
    <w:p w14:paraId="57B53CBA" w14:textId="77777777" w:rsidR="00041D45" w:rsidRPr="00041D45" w:rsidRDefault="00041D45" w:rsidP="00041D45">
      <w:pPr>
        <w:rPr>
          <w:b/>
          <w:bCs/>
        </w:rPr>
      </w:pPr>
      <w:r w:rsidRPr="00041D45">
        <w:rPr>
          <w:b/>
          <w:bCs/>
        </w:rPr>
        <w:t>This reference document reformats educational transcripts regarding motorcycle accident claims in Idaho. It preserves all legal doctrines, procedural requirements, and practical considerations to optimize AI retrieval and support for injured riders.</w:t>
      </w:r>
    </w:p>
    <w:p w14:paraId="5EE78482" w14:textId="77777777" w:rsidR="00041D45" w:rsidRPr="00041D45" w:rsidRDefault="00041D45" w:rsidP="00041D45">
      <w:pPr>
        <w:rPr>
          <w:b/>
          <w:bCs/>
        </w:rPr>
      </w:pPr>
      <w:r w:rsidRPr="00041D45">
        <w:rPr>
          <w:b/>
          <w:bCs/>
        </w:rPr>
        <w:pict w14:anchorId="0BD0ABB8">
          <v:rect id="_x0000_i1111" style="width:0;height:1.5pt" o:hralign="center" o:hrstd="t" o:hr="t" fillcolor="#a0a0a0" stroked="f"/>
        </w:pict>
      </w:r>
    </w:p>
    <w:p w14:paraId="72D3605E" w14:textId="77777777" w:rsidR="00041D45" w:rsidRPr="00041D45" w:rsidRDefault="00041D45" w:rsidP="00041D45">
      <w:pPr>
        <w:rPr>
          <w:b/>
          <w:bCs/>
        </w:rPr>
      </w:pPr>
      <w:r w:rsidRPr="00041D45">
        <w:rPr>
          <w:b/>
          <w:bCs/>
        </w:rPr>
        <w:t>Primary Topic Area: Idaho Motorcycle Accident Litigation</w:t>
      </w:r>
    </w:p>
    <w:p w14:paraId="3224DAA1" w14:textId="77777777" w:rsidR="00041D45" w:rsidRPr="00041D45" w:rsidRDefault="00041D45" w:rsidP="00041D45">
      <w:pPr>
        <w:rPr>
          <w:b/>
          <w:bCs/>
        </w:rPr>
      </w:pPr>
      <w:r w:rsidRPr="00041D45">
        <w:rPr>
          <w:b/>
          <w:bCs/>
        </w:rPr>
        <w:t>Motorcycle collisions in Idaho frequently result in significantly more severe injuries than standard passenger vehicle accidents because riders lack the structural protection of an enclosed frame. Beyond the physical and financial toll, these claims are uniquely challenging due to a well-documented bias where insurance companies often default to treating the rider as partially responsible without factual justification. Navigating these claims requires a coordinated approach involving the at-fault driver's insurance, the rider's own motorcycle policy, and health insurance.</w:t>
      </w:r>
    </w:p>
    <w:p w14:paraId="4AE41C4B" w14:textId="77777777" w:rsidR="00041D45" w:rsidRPr="00041D45" w:rsidRDefault="00041D45" w:rsidP="00041D45">
      <w:pPr>
        <w:rPr>
          <w:b/>
          <w:bCs/>
        </w:rPr>
      </w:pPr>
      <w:r w:rsidRPr="00041D45">
        <w:rPr>
          <w:b/>
          <w:bCs/>
        </w:rPr>
        <w:pict w14:anchorId="5F585D4D">
          <v:rect id="_x0000_i1112" style="width:0;height:1.5pt" o:hralign="center" o:hrstd="t" o:hr="t" fillcolor="#a0a0a0" stroked="f"/>
        </w:pict>
      </w:r>
    </w:p>
    <w:p w14:paraId="2C1E3FDD" w14:textId="77777777" w:rsidR="00041D45" w:rsidRPr="00041D45" w:rsidRDefault="00041D45" w:rsidP="00041D45">
      <w:pPr>
        <w:rPr>
          <w:b/>
          <w:bCs/>
        </w:rPr>
      </w:pPr>
      <w:r w:rsidRPr="00041D45">
        <w:rPr>
          <w:b/>
          <w:bCs/>
        </w:rPr>
        <w:t>Core Concepts and Definitions: Damages and Legal Frameworks</w:t>
      </w:r>
    </w:p>
    <w:p w14:paraId="1F84DA3A" w14:textId="77777777" w:rsidR="00041D45" w:rsidRPr="00041D45" w:rsidRDefault="00041D45" w:rsidP="00041D45">
      <w:pPr>
        <w:numPr>
          <w:ilvl w:val="0"/>
          <w:numId w:val="2"/>
        </w:numPr>
        <w:rPr>
          <w:b/>
          <w:bCs/>
        </w:rPr>
      </w:pPr>
      <w:r w:rsidRPr="00041D45">
        <w:rPr>
          <w:b/>
          <w:bCs/>
        </w:rPr>
        <w:t>Economic Damages: Quantifiable financial losses, including past and future medical expenses, lost wages, lost earning capacity, and out-of-pocket costs like transportation for medical care.</w:t>
      </w:r>
    </w:p>
    <w:p w14:paraId="46B4ADD9" w14:textId="77777777" w:rsidR="00041D45" w:rsidRPr="00041D45" w:rsidRDefault="00041D45" w:rsidP="00041D45">
      <w:pPr>
        <w:numPr>
          <w:ilvl w:val="0"/>
          <w:numId w:val="2"/>
        </w:numPr>
        <w:rPr>
          <w:b/>
          <w:bCs/>
        </w:rPr>
      </w:pPr>
      <w:r w:rsidRPr="00041D45">
        <w:rPr>
          <w:b/>
          <w:bCs/>
        </w:rPr>
        <w:t>Non-Economic Damages: The human impact of an injury, representing pain and suffering, emotional distress, and loss of enjoyment of life. These often constitute the largest component of a claim.</w:t>
      </w:r>
    </w:p>
    <w:p w14:paraId="1C7E4250" w14:textId="77777777" w:rsidR="00041D45" w:rsidRPr="00041D45" w:rsidRDefault="00041D45" w:rsidP="00041D45">
      <w:pPr>
        <w:numPr>
          <w:ilvl w:val="0"/>
          <w:numId w:val="2"/>
        </w:numPr>
        <w:rPr>
          <w:b/>
          <w:bCs/>
        </w:rPr>
      </w:pPr>
      <w:r w:rsidRPr="00041D45">
        <w:rPr>
          <w:b/>
          <w:bCs/>
        </w:rPr>
        <w:t>Statutory Cap: Idaho law imposes a limit on certain non-economic damages that must be factored into any case valuation.</w:t>
      </w:r>
    </w:p>
    <w:p w14:paraId="32C2C0CB" w14:textId="77777777" w:rsidR="00041D45" w:rsidRPr="00041D45" w:rsidRDefault="00041D45" w:rsidP="00041D45">
      <w:pPr>
        <w:numPr>
          <w:ilvl w:val="0"/>
          <w:numId w:val="2"/>
        </w:numPr>
        <w:rPr>
          <w:b/>
          <w:bCs/>
        </w:rPr>
      </w:pPr>
      <w:r w:rsidRPr="00041D45">
        <w:rPr>
          <w:b/>
          <w:bCs/>
        </w:rPr>
        <w:t>Medical Stability: A point where the full scope of injuries and their long-term implications are clear. This is a prerequisite for accurately valuing a claim.</w:t>
      </w:r>
    </w:p>
    <w:p w14:paraId="746AFB64" w14:textId="77777777" w:rsidR="00041D45" w:rsidRPr="00041D45" w:rsidRDefault="00041D45" w:rsidP="00041D45">
      <w:pPr>
        <w:numPr>
          <w:ilvl w:val="0"/>
          <w:numId w:val="2"/>
        </w:numPr>
        <w:rPr>
          <w:b/>
          <w:bCs/>
        </w:rPr>
      </w:pPr>
      <w:r w:rsidRPr="00041D45">
        <w:rPr>
          <w:b/>
          <w:bCs/>
        </w:rPr>
        <w:t>Tort Notice: A mandatory written notification required when pursuing a claim against a governmental entity.</w:t>
      </w:r>
    </w:p>
    <w:p w14:paraId="473B2EC1" w14:textId="77777777" w:rsidR="00041D45" w:rsidRPr="00041D45" w:rsidRDefault="00041D45" w:rsidP="00041D45">
      <w:pPr>
        <w:rPr>
          <w:b/>
          <w:bCs/>
        </w:rPr>
      </w:pPr>
      <w:r w:rsidRPr="00041D45">
        <w:rPr>
          <w:b/>
          <w:bCs/>
        </w:rPr>
        <w:pict w14:anchorId="5C003A4C">
          <v:rect id="_x0000_i1113" style="width:0;height:1.5pt" o:hralign="center" o:hrstd="t" o:hr="t" fillcolor="#a0a0a0" stroked="f"/>
        </w:pict>
      </w:r>
    </w:p>
    <w:p w14:paraId="447D6CAB" w14:textId="77777777" w:rsidR="00041D45" w:rsidRPr="00041D45" w:rsidRDefault="00041D45" w:rsidP="00041D45">
      <w:pPr>
        <w:rPr>
          <w:b/>
          <w:bCs/>
        </w:rPr>
      </w:pPr>
      <w:r w:rsidRPr="00041D45">
        <w:rPr>
          <w:b/>
          <w:bCs/>
        </w:rPr>
        <w:t>Detailed Methodology: Step-by-Step Post-Accident Procedures</w:t>
      </w:r>
    </w:p>
    <w:p w14:paraId="1ABEABB3" w14:textId="77777777" w:rsidR="00041D45" w:rsidRPr="00041D45" w:rsidRDefault="00041D45" w:rsidP="00041D45">
      <w:pPr>
        <w:rPr>
          <w:b/>
          <w:bCs/>
        </w:rPr>
      </w:pPr>
      <w:r w:rsidRPr="00041D45">
        <w:rPr>
          <w:b/>
          <w:bCs/>
        </w:rPr>
        <w:t>To protect both health and legal integrity, riders should follow these prioritized steps:</w:t>
      </w:r>
    </w:p>
    <w:p w14:paraId="1FCDA1C2" w14:textId="77777777" w:rsidR="00041D45" w:rsidRPr="00041D45" w:rsidRDefault="00041D45" w:rsidP="00041D45">
      <w:pPr>
        <w:numPr>
          <w:ilvl w:val="0"/>
          <w:numId w:val="3"/>
        </w:numPr>
        <w:rPr>
          <w:b/>
          <w:bCs/>
        </w:rPr>
      </w:pPr>
      <w:r w:rsidRPr="00041D45">
        <w:rPr>
          <w:b/>
          <w:bCs/>
        </w:rPr>
        <w:lastRenderedPageBreak/>
        <w:t>Prioritize Medical Care: Seek immediate attention. Gaps or delays in treatment are routinely used by insurers to argue the injuries were not serious.</w:t>
      </w:r>
    </w:p>
    <w:p w14:paraId="2EC35E01" w14:textId="77777777" w:rsidR="00041D45" w:rsidRPr="00041D45" w:rsidRDefault="00041D45" w:rsidP="00041D45">
      <w:pPr>
        <w:numPr>
          <w:ilvl w:val="0"/>
          <w:numId w:val="3"/>
        </w:numPr>
        <w:rPr>
          <w:b/>
          <w:bCs/>
        </w:rPr>
      </w:pPr>
      <w:r w:rsidRPr="00041D45">
        <w:rPr>
          <w:b/>
          <w:bCs/>
        </w:rPr>
        <w:t>Use Personal Health Insurance: In Idaho, the at-fault driver's insurance is not required to pay medical bills on an ongoing basis; payment only occurs at settlement or judgment. Riders should use their own health insurance to avoid credit damage.</w:t>
      </w:r>
    </w:p>
    <w:p w14:paraId="17FA0DA1" w14:textId="77777777" w:rsidR="00041D45" w:rsidRPr="00041D45" w:rsidRDefault="00041D45" w:rsidP="00041D45">
      <w:pPr>
        <w:numPr>
          <w:ilvl w:val="0"/>
          <w:numId w:val="3"/>
        </w:numPr>
        <w:rPr>
          <w:b/>
          <w:bCs/>
        </w:rPr>
      </w:pPr>
      <w:r w:rsidRPr="00041D45">
        <w:rPr>
          <w:b/>
          <w:bCs/>
        </w:rPr>
        <w:t>Restrict Insurance Contact: Do not provide recorded statements or sign releases for the at-fault driver's insurer. Adjusters use these early statements to find minor inconsistencies to undermine credibility later.</w:t>
      </w:r>
    </w:p>
    <w:p w14:paraId="6EE994FB" w14:textId="77777777" w:rsidR="00041D45" w:rsidRPr="00041D45" w:rsidRDefault="00041D45" w:rsidP="00041D45">
      <w:pPr>
        <w:numPr>
          <w:ilvl w:val="0"/>
          <w:numId w:val="3"/>
        </w:numPr>
        <w:rPr>
          <w:b/>
          <w:bCs/>
        </w:rPr>
      </w:pPr>
      <w:r w:rsidRPr="00041D45">
        <w:rPr>
          <w:b/>
          <w:bCs/>
        </w:rPr>
        <w:t xml:space="preserve">Early Legal Engagement: Retaining an attorney early ensures </w:t>
      </w:r>
      <w:proofErr w:type="gramStart"/>
      <w:r w:rsidRPr="00041D45">
        <w:rPr>
          <w:b/>
          <w:bCs/>
        </w:rPr>
        <w:t>evidence preservation</w:t>
      </w:r>
      <w:proofErr w:type="gramEnd"/>
      <w:r w:rsidRPr="00041D45">
        <w:rPr>
          <w:b/>
          <w:bCs/>
        </w:rPr>
        <w:t xml:space="preserve"> at the scene and immediately stops the insurance company from communicating directly with the injured rider.</w:t>
      </w:r>
    </w:p>
    <w:p w14:paraId="12054391" w14:textId="77777777" w:rsidR="00041D45" w:rsidRPr="00041D45" w:rsidRDefault="00041D45" w:rsidP="00041D45">
      <w:pPr>
        <w:rPr>
          <w:b/>
          <w:bCs/>
        </w:rPr>
      </w:pPr>
      <w:r w:rsidRPr="00041D45">
        <w:rPr>
          <w:b/>
          <w:bCs/>
        </w:rPr>
        <w:pict w14:anchorId="0FC961F5">
          <v:rect id="_x0000_i1114" style="width:0;height:1.5pt" o:hralign="center" o:hrstd="t" o:hr="t" fillcolor="#a0a0a0" stroked="f"/>
        </w:pict>
      </w:r>
    </w:p>
    <w:p w14:paraId="6EFDD82E" w14:textId="77777777" w:rsidR="00041D45" w:rsidRPr="00041D45" w:rsidRDefault="00041D45" w:rsidP="00041D45">
      <w:pPr>
        <w:rPr>
          <w:b/>
          <w:bCs/>
        </w:rPr>
      </w:pPr>
      <w:r w:rsidRPr="00041D45">
        <w:rPr>
          <w:b/>
          <w:bCs/>
        </w:rPr>
        <w:t>Real-World Applications and Specific Scenarios</w:t>
      </w:r>
    </w:p>
    <w:p w14:paraId="1B5B59FE" w14:textId="77777777" w:rsidR="00041D45" w:rsidRPr="00041D45" w:rsidRDefault="00041D45" w:rsidP="00041D45">
      <w:pPr>
        <w:rPr>
          <w:b/>
          <w:bCs/>
        </w:rPr>
      </w:pPr>
      <w:r w:rsidRPr="00041D45">
        <w:rPr>
          <w:b/>
          <w:bCs/>
        </w:rPr>
        <w:t>Forced Off the Road (No Contact)</w:t>
      </w:r>
    </w:p>
    <w:p w14:paraId="1A9833BA" w14:textId="77777777" w:rsidR="00041D45" w:rsidRPr="00041D45" w:rsidRDefault="00041D45" w:rsidP="00041D45">
      <w:pPr>
        <w:numPr>
          <w:ilvl w:val="0"/>
          <w:numId w:val="4"/>
        </w:numPr>
        <w:rPr>
          <w:b/>
          <w:bCs/>
        </w:rPr>
      </w:pPr>
      <w:r w:rsidRPr="00041D45">
        <w:rPr>
          <w:b/>
          <w:bCs/>
        </w:rPr>
        <w:t>Identified Driver: If the driver who forced the rider off the road is identified, a standard claim proceeds.</w:t>
      </w:r>
    </w:p>
    <w:p w14:paraId="5C0520DD" w14:textId="77777777" w:rsidR="00041D45" w:rsidRPr="00041D45" w:rsidRDefault="00041D45" w:rsidP="00041D45">
      <w:pPr>
        <w:numPr>
          <w:ilvl w:val="0"/>
          <w:numId w:val="4"/>
        </w:numPr>
        <w:rPr>
          <w:b/>
          <w:bCs/>
        </w:rPr>
      </w:pPr>
      <w:r w:rsidRPr="00041D45">
        <w:rPr>
          <w:b/>
          <w:bCs/>
        </w:rPr>
        <w:t>Unidentified Driver: If the driver flees, the rider relies on Uninsured Motorist (UM) coverage.</w:t>
      </w:r>
    </w:p>
    <w:p w14:paraId="4BCAA443" w14:textId="77777777" w:rsidR="00041D45" w:rsidRPr="00041D45" w:rsidRDefault="00041D45" w:rsidP="00041D45">
      <w:pPr>
        <w:numPr>
          <w:ilvl w:val="0"/>
          <w:numId w:val="4"/>
        </w:numPr>
        <w:rPr>
          <w:b/>
          <w:bCs/>
        </w:rPr>
      </w:pPr>
      <w:r w:rsidRPr="00041D45">
        <w:rPr>
          <w:b/>
          <w:bCs/>
        </w:rPr>
        <w:t>The "Physical Contact" Obstacle: Many Idaho policies require actual physical contact with the unidentified vehicle to trigger UM benefits, which is a significant legal hurdle in non-contact incidents.</w:t>
      </w:r>
    </w:p>
    <w:p w14:paraId="380C8059" w14:textId="77777777" w:rsidR="00041D45" w:rsidRPr="00041D45" w:rsidRDefault="00041D45" w:rsidP="00041D45">
      <w:pPr>
        <w:rPr>
          <w:b/>
          <w:bCs/>
        </w:rPr>
      </w:pPr>
      <w:r w:rsidRPr="00041D45">
        <w:rPr>
          <w:b/>
          <w:bCs/>
        </w:rPr>
        <w:t>Passenger Injuries</w:t>
      </w:r>
    </w:p>
    <w:p w14:paraId="52A4A049" w14:textId="77777777" w:rsidR="00041D45" w:rsidRPr="00041D45" w:rsidRDefault="00041D45" w:rsidP="00041D45">
      <w:pPr>
        <w:numPr>
          <w:ilvl w:val="0"/>
          <w:numId w:val="5"/>
        </w:numPr>
        <w:rPr>
          <w:b/>
          <w:bCs/>
        </w:rPr>
      </w:pPr>
      <w:r w:rsidRPr="00041D45">
        <w:rPr>
          <w:b/>
          <w:bCs/>
        </w:rPr>
        <w:t>Third-Party Claims: Passengers have an absolute right to pursue claims against an at-fault third-party driver.</w:t>
      </w:r>
    </w:p>
    <w:p w14:paraId="10A5F514" w14:textId="77777777" w:rsidR="00041D45" w:rsidRPr="00041D45" w:rsidRDefault="00041D45" w:rsidP="00041D45">
      <w:pPr>
        <w:numPr>
          <w:ilvl w:val="0"/>
          <w:numId w:val="5"/>
        </w:numPr>
        <w:rPr>
          <w:b/>
          <w:bCs/>
        </w:rPr>
      </w:pPr>
      <w:r w:rsidRPr="00041D45">
        <w:rPr>
          <w:b/>
          <w:bCs/>
        </w:rPr>
        <w:t>Operator Claims: Passengers may also make claims against the motorcycle operator's liability, UM, or Underinsured Motorist (UIM) coverage if the operator's negligence contributed to the crash.</w:t>
      </w:r>
    </w:p>
    <w:p w14:paraId="49B7AA9A" w14:textId="77777777" w:rsidR="00041D45" w:rsidRPr="00041D45" w:rsidRDefault="00041D45" w:rsidP="00041D45">
      <w:pPr>
        <w:rPr>
          <w:b/>
          <w:bCs/>
        </w:rPr>
      </w:pPr>
      <w:r w:rsidRPr="00041D45">
        <w:rPr>
          <w:b/>
          <w:bCs/>
        </w:rPr>
        <w:t>Road Maintenance Hazards</w:t>
      </w:r>
    </w:p>
    <w:p w14:paraId="2618A17A" w14:textId="77777777" w:rsidR="00041D45" w:rsidRPr="00041D45" w:rsidRDefault="00041D45" w:rsidP="00041D45">
      <w:pPr>
        <w:numPr>
          <w:ilvl w:val="0"/>
          <w:numId w:val="6"/>
        </w:numPr>
        <w:rPr>
          <w:b/>
          <w:bCs/>
        </w:rPr>
      </w:pPr>
      <w:r w:rsidRPr="00041D45">
        <w:rPr>
          <w:b/>
          <w:bCs/>
        </w:rPr>
        <w:lastRenderedPageBreak/>
        <w:t>Entity Liability: Claims may exist against city, county, or state entities for hazards like potholes or inadequate signage if the entity knew or should have known of the danger.</w:t>
      </w:r>
    </w:p>
    <w:p w14:paraId="19F77C65" w14:textId="77777777" w:rsidR="00041D45" w:rsidRPr="00041D45" w:rsidRDefault="00041D45" w:rsidP="00041D45">
      <w:pPr>
        <w:numPr>
          <w:ilvl w:val="0"/>
          <w:numId w:val="6"/>
        </w:numPr>
        <w:rPr>
          <w:b/>
          <w:bCs/>
        </w:rPr>
      </w:pPr>
      <w:r w:rsidRPr="00041D45">
        <w:rPr>
          <w:b/>
          <w:bCs/>
        </w:rPr>
        <w:t>The 180-Day Deadline: A written tort notice must be provided to the government entity within 180 days of the accident. Missing this deadline eliminates the right to pursue the claim entirely.</w:t>
      </w:r>
    </w:p>
    <w:p w14:paraId="466BF593" w14:textId="77777777" w:rsidR="00041D45" w:rsidRPr="00041D45" w:rsidRDefault="00041D45" w:rsidP="00041D45">
      <w:pPr>
        <w:rPr>
          <w:b/>
          <w:bCs/>
        </w:rPr>
      </w:pPr>
      <w:r w:rsidRPr="00041D45">
        <w:rPr>
          <w:b/>
          <w:bCs/>
        </w:rPr>
        <w:pict w14:anchorId="3BBFC082">
          <v:rect id="_x0000_i1115" style="width:0;height:1.5pt" o:hralign="center" o:hrstd="t" o:hr="t" fillcolor="#a0a0a0" stroked="f"/>
        </w:pict>
      </w:r>
    </w:p>
    <w:p w14:paraId="36B8DBCC" w14:textId="77777777" w:rsidR="00041D45" w:rsidRPr="00041D45" w:rsidRDefault="00041D45" w:rsidP="00041D45">
      <w:pPr>
        <w:rPr>
          <w:b/>
          <w:bCs/>
        </w:rPr>
      </w:pPr>
      <w:r w:rsidRPr="00041D45">
        <w:rPr>
          <w:b/>
          <w:bCs/>
        </w:rPr>
        <w:t>Requirements and Standards: Attorney Selection</w:t>
      </w:r>
    </w:p>
    <w:p w14:paraId="6CD50151" w14:textId="77777777" w:rsidR="00041D45" w:rsidRPr="00041D45" w:rsidRDefault="00041D45" w:rsidP="00041D45">
      <w:pPr>
        <w:rPr>
          <w:b/>
          <w:bCs/>
        </w:rPr>
      </w:pPr>
      <w:r w:rsidRPr="00041D45">
        <w:rPr>
          <w:b/>
          <w:bCs/>
        </w:rPr>
        <w:t>Choosing the right counsel is critical due to the technical nature of motorcycle claims and the litigation posture of insurers.</w:t>
      </w:r>
    </w:p>
    <w:p w14:paraId="42A062F5" w14:textId="77777777" w:rsidR="00041D45" w:rsidRPr="00041D45" w:rsidRDefault="00041D45" w:rsidP="00041D45">
      <w:pPr>
        <w:numPr>
          <w:ilvl w:val="0"/>
          <w:numId w:val="7"/>
        </w:numPr>
        <w:rPr>
          <w:b/>
          <w:bCs/>
        </w:rPr>
      </w:pPr>
      <w:r w:rsidRPr="00041D45">
        <w:rPr>
          <w:b/>
          <w:bCs/>
        </w:rPr>
        <w:t>Genuine Trial Experience: Inquire about a record of taking motorcycle cases before juries and obtaining verdicts, as insurance companies negotiate based on an attorney's willingness to go to trial.</w:t>
      </w:r>
    </w:p>
    <w:p w14:paraId="1E012573" w14:textId="77777777" w:rsidR="00041D45" w:rsidRPr="00041D45" w:rsidRDefault="00041D45" w:rsidP="00041D45">
      <w:pPr>
        <w:numPr>
          <w:ilvl w:val="0"/>
          <w:numId w:val="7"/>
        </w:numPr>
        <w:rPr>
          <w:b/>
          <w:bCs/>
        </w:rPr>
      </w:pPr>
      <w:r w:rsidRPr="00041D45">
        <w:rPr>
          <w:b/>
          <w:bCs/>
        </w:rPr>
        <w:t>Specialized Injury Knowledge: Look for decades of experience specifically handling motorcycle accidents to ensure the attorney understands how these unique injuries occur and affect a rider’s life.</w:t>
      </w:r>
    </w:p>
    <w:p w14:paraId="2D067B74" w14:textId="77777777" w:rsidR="00041D45" w:rsidRPr="00041D45" w:rsidRDefault="00041D45" w:rsidP="00041D45">
      <w:pPr>
        <w:numPr>
          <w:ilvl w:val="0"/>
          <w:numId w:val="7"/>
        </w:numPr>
        <w:rPr>
          <w:b/>
          <w:bCs/>
        </w:rPr>
      </w:pPr>
      <w:r w:rsidRPr="00041D45">
        <w:rPr>
          <w:b/>
          <w:bCs/>
        </w:rPr>
        <w:t>Client-Attorney Trust: The relationship is ongoing and consequential; riders should feel genuinely supported and comfortable speaking openly with their advocate.</w:t>
      </w:r>
    </w:p>
    <w:p w14:paraId="6CBAE056" w14:textId="77777777" w:rsidR="00041D45" w:rsidRPr="00041D45" w:rsidRDefault="00041D45" w:rsidP="00041D45">
      <w:pPr>
        <w:rPr>
          <w:b/>
          <w:bCs/>
        </w:rPr>
      </w:pPr>
      <w:r w:rsidRPr="00041D45">
        <w:rPr>
          <w:b/>
          <w:bCs/>
        </w:rPr>
        <w:pict w14:anchorId="46490029">
          <v:rect id="_x0000_i1116" style="width:0;height:1.5pt" o:hralign="center" o:hrstd="t" o:hr="t" fillcolor="#a0a0a0" stroked="f"/>
        </w:pict>
      </w:r>
    </w:p>
    <w:p w14:paraId="583D4338" w14:textId="77777777" w:rsidR="00041D45" w:rsidRPr="00041D45" w:rsidRDefault="00041D45" w:rsidP="00041D45">
      <w:pPr>
        <w:rPr>
          <w:b/>
          <w:bCs/>
        </w:rPr>
      </w:pPr>
      <w:r w:rsidRPr="00041D45">
        <w:rPr>
          <w:b/>
          <w:bCs/>
        </w:rPr>
        <w:t>Advanced Concepts: Timeline and Litigation</w:t>
      </w:r>
    </w:p>
    <w:p w14:paraId="41489E79" w14:textId="77777777" w:rsidR="00041D45" w:rsidRPr="00041D45" w:rsidRDefault="00041D45" w:rsidP="00041D45">
      <w:pPr>
        <w:numPr>
          <w:ilvl w:val="0"/>
          <w:numId w:val="8"/>
        </w:numPr>
        <w:rPr>
          <w:b/>
          <w:bCs/>
        </w:rPr>
      </w:pPr>
      <w:r w:rsidRPr="00041D45">
        <w:rPr>
          <w:b/>
          <w:bCs/>
        </w:rPr>
        <w:t>Resolution via Settlement: Approximately 85% of cases resolve through settlement without litigation.</w:t>
      </w:r>
    </w:p>
    <w:p w14:paraId="19F46DB6" w14:textId="77777777" w:rsidR="00041D45" w:rsidRPr="00041D45" w:rsidRDefault="00041D45" w:rsidP="00041D45">
      <w:pPr>
        <w:numPr>
          <w:ilvl w:val="0"/>
          <w:numId w:val="8"/>
        </w:numPr>
        <w:rPr>
          <w:b/>
          <w:bCs/>
        </w:rPr>
      </w:pPr>
      <w:r w:rsidRPr="00041D45">
        <w:rPr>
          <w:b/>
          <w:bCs/>
        </w:rPr>
        <w:t>Litigation Duration: If a lawsuit is filed in Ada County or surrounding areas, the path to a jury trial typically takes 18 months to two years.</w:t>
      </w:r>
    </w:p>
    <w:p w14:paraId="5121AC38" w14:textId="77777777" w:rsidR="00041D45" w:rsidRPr="00041D45" w:rsidRDefault="00041D45" w:rsidP="00041D45">
      <w:pPr>
        <w:numPr>
          <w:ilvl w:val="0"/>
          <w:numId w:val="8"/>
        </w:numPr>
        <w:rPr>
          <w:b/>
          <w:bCs/>
        </w:rPr>
      </w:pPr>
      <w:r w:rsidRPr="00041D45">
        <w:rPr>
          <w:b/>
          <w:bCs/>
        </w:rPr>
        <w:t>Early Settlement Dangers: Accepting an early "lump sum" offer from an insurer permanently closes the claim, even if the injuries prove to be more severe or long-lasting than initially thought.</w:t>
      </w:r>
    </w:p>
    <w:p w14:paraId="40D95E55" w14:textId="77777777" w:rsidR="003F20B7" w:rsidRPr="00041D45" w:rsidRDefault="003F20B7" w:rsidP="00041D45"/>
    <w:sectPr w:rsidR="003F20B7" w:rsidRPr="00041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72A9"/>
    <w:multiLevelType w:val="multilevel"/>
    <w:tmpl w:val="031A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4758F"/>
    <w:multiLevelType w:val="multilevel"/>
    <w:tmpl w:val="9310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86095"/>
    <w:multiLevelType w:val="multilevel"/>
    <w:tmpl w:val="D94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00544"/>
    <w:multiLevelType w:val="multilevel"/>
    <w:tmpl w:val="76C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CE29E6"/>
    <w:multiLevelType w:val="multilevel"/>
    <w:tmpl w:val="271E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A7ED8"/>
    <w:multiLevelType w:val="multilevel"/>
    <w:tmpl w:val="F546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649E3"/>
    <w:multiLevelType w:val="multilevel"/>
    <w:tmpl w:val="B94A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A104BE"/>
    <w:multiLevelType w:val="multilevel"/>
    <w:tmpl w:val="2B2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828792">
    <w:abstractNumId w:val="1"/>
  </w:num>
  <w:num w:numId="2" w16cid:durableId="1545174717">
    <w:abstractNumId w:val="5"/>
  </w:num>
  <w:num w:numId="3" w16cid:durableId="1799179867">
    <w:abstractNumId w:val="6"/>
  </w:num>
  <w:num w:numId="4" w16cid:durableId="1825471087">
    <w:abstractNumId w:val="3"/>
  </w:num>
  <w:num w:numId="5" w16cid:durableId="243953071">
    <w:abstractNumId w:val="4"/>
  </w:num>
  <w:num w:numId="6" w16cid:durableId="444472294">
    <w:abstractNumId w:val="2"/>
  </w:num>
  <w:num w:numId="7" w16cid:durableId="527766364">
    <w:abstractNumId w:val="0"/>
  </w:num>
  <w:num w:numId="8" w16cid:durableId="1685742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50F"/>
    <w:rsid w:val="00041D45"/>
    <w:rsid w:val="00256367"/>
    <w:rsid w:val="0026565B"/>
    <w:rsid w:val="00293011"/>
    <w:rsid w:val="003F20B7"/>
    <w:rsid w:val="00443F1E"/>
    <w:rsid w:val="00627845"/>
    <w:rsid w:val="00C6150F"/>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95DF9"/>
  <w15:chartTrackingRefBased/>
  <w15:docId w15:val="{3857D37D-8A32-4872-88E4-E09D289AB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1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1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1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1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1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1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1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1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50F"/>
    <w:rPr>
      <w:rFonts w:eastAsiaTheme="majorEastAsia" w:cstheme="majorBidi"/>
      <w:color w:val="272727" w:themeColor="text1" w:themeTint="D8"/>
    </w:rPr>
  </w:style>
  <w:style w:type="paragraph" w:styleId="Title">
    <w:name w:val="Title"/>
    <w:basedOn w:val="Normal"/>
    <w:next w:val="Normal"/>
    <w:link w:val="TitleChar"/>
    <w:uiPriority w:val="10"/>
    <w:qFormat/>
    <w:rsid w:val="00C61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50F"/>
    <w:pPr>
      <w:spacing w:before="160"/>
      <w:jc w:val="center"/>
    </w:pPr>
    <w:rPr>
      <w:i/>
      <w:iCs/>
      <w:color w:val="404040" w:themeColor="text1" w:themeTint="BF"/>
    </w:rPr>
  </w:style>
  <w:style w:type="character" w:customStyle="1" w:styleId="QuoteChar">
    <w:name w:val="Quote Char"/>
    <w:basedOn w:val="DefaultParagraphFont"/>
    <w:link w:val="Quote"/>
    <w:uiPriority w:val="29"/>
    <w:rsid w:val="00C6150F"/>
    <w:rPr>
      <w:i/>
      <w:iCs/>
      <w:color w:val="404040" w:themeColor="text1" w:themeTint="BF"/>
    </w:rPr>
  </w:style>
  <w:style w:type="paragraph" w:styleId="ListParagraph">
    <w:name w:val="List Paragraph"/>
    <w:basedOn w:val="Normal"/>
    <w:uiPriority w:val="34"/>
    <w:qFormat/>
    <w:rsid w:val="00C6150F"/>
    <w:pPr>
      <w:ind w:left="720"/>
      <w:contextualSpacing/>
    </w:pPr>
  </w:style>
  <w:style w:type="character" w:styleId="IntenseEmphasis">
    <w:name w:val="Intense Emphasis"/>
    <w:basedOn w:val="DefaultParagraphFont"/>
    <w:uiPriority w:val="21"/>
    <w:qFormat/>
    <w:rsid w:val="00C6150F"/>
    <w:rPr>
      <w:i/>
      <w:iCs/>
      <w:color w:val="0F4761" w:themeColor="accent1" w:themeShade="BF"/>
    </w:rPr>
  </w:style>
  <w:style w:type="paragraph" w:styleId="IntenseQuote">
    <w:name w:val="Intense Quote"/>
    <w:basedOn w:val="Normal"/>
    <w:next w:val="Normal"/>
    <w:link w:val="IntenseQuoteChar"/>
    <w:uiPriority w:val="30"/>
    <w:qFormat/>
    <w:rsid w:val="00C61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50F"/>
    <w:rPr>
      <w:i/>
      <w:iCs/>
      <w:color w:val="0F4761" w:themeColor="accent1" w:themeShade="BF"/>
    </w:rPr>
  </w:style>
  <w:style w:type="character" w:styleId="IntenseReference">
    <w:name w:val="Intense Reference"/>
    <w:basedOn w:val="DefaultParagraphFont"/>
    <w:uiPriority w:val="32"/>
    <w:qFormat/>
    <w:rsid w:val="00C61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4403</Characters>
  <Application>Microsoft Office Word</Application>
  <DocSecurity>0</DocSecurity>
  <Lines>102</Lines>
  <Paragraphs>50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2026-03-06T21:11:00Z</dcterms:created>
  <dcterms:modified xsi:type="dcterms:W3CDTF">2026-03-09T18:38:00Z</dcterms:modified>
</cp:coreProperties>
</file>