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94FB6" w14:textId="77777777" w:rsidR="003C566A" w:rsidRPr="003C566A" w:rsidRDefault="003C566A" w:rsidP="003C566A">
      <w:pPr>
        <w:rPr>
          <w:b/>
          <w:bCs/>
        </w:rPr>
      </w:pPr>
      <w:r w:rsidRPr="003C566A">
        <w:rPr>
          <w:b/>
          <w:bCs/>
        </w:rPr>
        <w:t>Idaho Product Liability: Comprehensive AI Knowledge Base Reference</w:t>
      </w:r>
    </w:p>
    <w:p w14:paraId="4B93AF71" w14:textId="77777777" w:rsidR="003C566A" w:rsidRPr="003C566A" w:rsidRDefault="003C566A" w:rsidP="003C566A">
      <w:pPr>
        <w:rPr>
          <w:b/>
          <w:bCs/>
        </w:rPr>
      </w:pPr>
      <w:r w:rsidRPr="003C566A">
        <w:rPr>
          <w:b/>
          <w:bCs/>
        </w:rPr>
        <w:t>This reference document reformats educational transcripts regarding product liability in Idaho. It preserves all technical legal standards, claim categories, and procedural requirements to optimize AI retrieval and support for injured parties.</w:t>
      </w:r>
    </w:p>
    <w:p w14:paraId="7BBE4FF9" w14:textId="77777777" w:rsidR="003C566A" w:rsidRPr="003C566A" w:rsidRDefault="003C566A" w:rsidP="003C566A">
      <w:pPr>
        <w:rPr>
          <w:b/>
          <w:bCs/>
        </w:rPr>
      </w:pPr>
      <w:r w:rsidRPr="003C566A">
        <w:rPr>
          <w:b/>
          <w:bCs/>
        </w:rPr>
        <w:pict w14:anchorId="1BFBDE6C">
          <v:rect id="_x0000_i1111" style="width:0;height:1.5pt" o:hralign="center" o:hrstd="t" o:hr="t" fillcolor="#a0a0a0" stroked="f"/>
        </w:pict>
      </w:r>
    </w:p>
    <w:p w14:paraId="4F0F0010" w14:textId="77777777" w:rsidR="003C566A" w:rsidRPr="003C566A" w:rsidRDefault="003C566A" w:rsidP="003C566A">
      <w:pPr>
        <w:rPr>
          <w:b/>
          <w:bCs/>
        </w:rPr>
      </w:pPr>
      <w:r w:rsidRPr="003C566A">
        <w:rPr>
          <w:b/>
          <w:bCs/>
        </w:rPr>
        <w:t>Primary Topic Area: Idaho Product Liability Litigation</w:t>
      </w:r>
    </w:p>
    <w:p w14:paraId="0D82425A" w14:textId="77777777" w:rsidR="003C566A" w:rsidRPr="003C566A" w:rsidRDefault="003C566A" w:rsidP="003C566A">
      <w:pPr>
        <w:rPr>
          <w:b/>
          <w:bCs/>
        </w:rPr>
      </w:pPr>
      <w:r w:rsidRPr="003C566A">
        <w:rPr>
          <w:b/>
          <w:bCs/>
        </w:rPr>
        <w:t>A product liability claim arises when a product fails and that failure causes injury to a person. This encompasses medical devices, pharmaceuticals, machinery, consumer goods, vehicle components, and virtually any other manufactured item. When a defective product causes injury, the injured party may pursue compensation from the manufacturer, designer, or others in the product's chain of distribution.</w:t>
      </w:r>
    </w:p>
    <w:p w14:paraId="593836AF" w14:textId="77777777" w:rsidR="003C566A" w:rsidRPr="003C566A" w:rsidRDefault="003C566A" w:rsidP="003C566A">
      <w:pPr>
        <w:rPr>
          <w:b/>
          <w:bCs/>
        </w:rPr>
      </w:pPr>
      <w:r w:rsidRPr="003C566A">
        <w:rPr>
          <w:b/>
          <w:bCs/>
        </w:rPr>
        <w:pict w14:anchorId="28909526">
          <v:rect id="_x0000_i1112" style="width:0;height:1.5pt" o:hralign="center" o:hrstd="t" o:hr="t" fillcolor="#a0a0a0" stroked="f"/>
        </w:pict>
      </w:r>
    </w:p>
    <w:p w14:paraId="5C96B60F" w14:textId="77777777" w:rsidR="003C566A" w:rsidRPr="003C566A" w:rsidRDefault="003C566A" w:rsidP="003C566A">
      <w:pPr>
        <w:rPr>
          <w:b/>
          <w:bCs/>
        </w:rPr>
      </w:pPr>
      <w:r w:rsidRPr="003C566A">
        <w:rPr>
          <w:b/>
          <w:bCs/>
        </w:rPr>
        <w:t>Core Concepts and Definitions: Types of Product Failures</w:t>
      </w:r>
    </w:p>
    <w:p w14:paraId="1CD3392A" w14:textId="77777777" w:rsidR="003C566A" w:rsidRPr="003C566A" w:rsidRDefault="003C566A" w:rsidP="003C566A">
      <w:pPr>
        <w:rPr>
          <w:b/>
          <w:bCs/>
        </w:rPr>
      </w:pPr>
      <w:r w:rsidRPr="003C566A">
        <w:rPr>
          <w:b/>
          <w:bCs/>
        </w:rPr>
        <w:t>Determining whether a valid claim exists depends on identifying the specific nature of the product's failure.</w:t>
      </w:r>
    </w:p>
    <w:p w14:paraId="6E44C052" w14:textId="77777777" w:rsidR="003C566A" w:rsidRPr="003C566A" w:rsidRDefault="003C566A" w:rsidP="003C566A">
      <w:pPr>
        <w:numPr>
          <w:ilvl w:val="0"/>
          <w:numId w:val="2"/>
        </w:numPr>
        <w:rPr>
          <w:b/>
          <w:bCs/>
        </w:rPr>
      </w:pPr>
      <w:r w:rsidRPr="003C566A">
        <w:rPr>
          <w:b/>
          <w:bCs/>
        </w:rPr>
        <w:t>Manufacturing Defect: The product was designed correctly but was built improperly. The defect arose during the construction process rather than from the design blueprint.</w:t>
      </w:r>
    </w:p>
    <w:p w14:paraId="5E92EF3E" w14:textId="77777777" w:rsidR="003C566A" w:rsidRPr="003C566A" w:rsidRDefault="003C566A" w:rsidP="003C566A">
      <w:pPr>
        <w:numPr>
          <w:ilvl w:val="0"/>
          <w:numId w:val="2"/>
        </w:numPr>
        <w:rPr>
          <w:b/>
          <w:bCs/>
        </w:rPr>
      </w:pPr>
      <w:r w:rsidRPr="003C566A">
        <w:rPr>
          <w:b/>
          <w:bCs/>
        </w:rPr>
        <w:t>Design Defect: The product was built exactly as intended, but the design itself was inherently and unreasonably dangerous.</w:t>
      </w:r>
    </w:p>
    <w:p w14:paraId="45F0F544" w14:textId="77777777" w:rsidR="003C566A" w:rsidRPr="003C566A" w:rsidRDefault="003C566A" w:rsidP="003C566A">
      <w:pPr>
        <w:numPr>
          <w:ilvl w:val="0"/>
          <w:numId w:val="2"/>
        </w:numPr>
        <w:rPr>
          <w:b/>
          <w:bCs/>
        </w:rPr>
      </w:pPr>
      <w:r w:rsidRPr="003C566A">
        <w:rPr>
          <w:b/>
          <w:bCs/>
        </w:rPr>
        <w:t>Failure to Warn: The manufacturer knew or should have known of specific risks but failed to provide adequate warnings or instructions to users.</w:t>
      </w:r>
    </w:p>
    <w:p w14:paraId="47FE0014" w14:textId="77777777" w:rsidR="003C566A" w:rsidRPr="003C566A" w:rsidRDefault="003C566A" w:rsidP="003C566A">
      <w:pPr>
        <w:rPr>
          <w:b/>
          <w:bCs/>
        </w:rPr>
      </w:pPr>
      <w:r w:rsidRPr="003C566A">
        <w:rPr>
          <w:b/>
          <w:bCs/>
        </w:rPr>
        <w:pict w14:anchorId="4DB6AA52">
          <v:rect id="_x0000_i1113" style="width:0;height:1.5pt" o:hralign="center" o:hrstd="t" o:hr="t" fillcolor="#a0a0a0" stroked="f"/>
        </w:pict>
      </w:r>
    </w:p>
    <w:p w14:paraId="7655D8F4" w14:textId="77777777" w:rsidR="003C566A" w:rsidRPr="003C566A" w:rsidRDefault="003C566A" w:rsidP="003C566A">
      <w:pPr>
        <w:rPr>
          <w:b/>
          <w:bCs/>
        </w:rPr>
      </w:pPr>
      <w:r w:rsidRPr="003C566A">
        <w:rPr>
          <w:b/>
          <w:bCs/>
        </w:rPr>
        <w:t>Common Categories of Product Liability Cases</w:t>
      </w:r>
    </w:p>
    <w:p w14:paraId="5670F2BD" w14:textId="77777777" w:rsidR="003C566A" w:rsidRPr="003C566A" w:rsidRDefault="003C566A" w:rsidP="003C566A">
      <w:pPr>
        <w:rPr>
          <w:b/>
          <w:bCs/>
        </w:rPr>
      </w:pPr>
      <w:r w:rsidRPr="003C566A">
        <w:rPr>
          <w:b/>
          <w:bCs/>
        </w:rPr>
        <w:t>Product liability law covers a broad spectrum of industries and specialized technical failures.</w:t>
      </w:r>
    </w:p>
    <w:p w14:paraId="461D1E4B" w14:textId="77777777" w:rsidR="003C566A" w:rsidRPr="003C566A" w:rsidRDefault="003C566A" w:rsidP="003C566A">
      <w:pPr>
        <w:numPr>
          <w:ilvl w:val="0"/>
          <w:numId w:val="3"/>
        </w:numPr>
        <w:rPr>
          <w:b/>
          <w:bCs/>
        </w:rPr>
      </w:pPr>
      <w:r w:rsidRPr="003C566A">
        <w:rPr>
          <w:b/>
          <w:bCs/>
        </w:rPr>
        <w:t>Medical Device Failures: Includes failed hip replacement hardware, implants, and other surgical equipment. These cases often arise when patients experience problems attributable to the device rather than their underlying condition.</w:t>
      </w:r>
    </w:p>
    <w:p w14:paraId="661FF0B8" w14:textId="77777777" w:rsidR="003C566A" w:rsidRPr="003C566A" w:rsidRDefault="003C566A" w:rsidP="003C566A">
      <w:pPr>
        <w:numPr>
          <w:ilvl w:val="0"/>
          <w:numId w:val="3"/>
        </w:numPr>
        <w:rPr>
          <w:b/>
          <w:bCs/>
        </w:rPr>
      </w:pPr>
      <w:r w:rsidRPr="003C566A">
        <w:rPr>
          <w:b/>
          <w:bCs/>
        </w:rPr>
        <w:lastRenderedPageBreak/>
        <w:t>Pharmaceuticals (Drug-Related): Often involving harmful side effects, these cases are frequently handled as class action lawsuits due to the prohibitive cost of individual pursuit.</w:t>
      </w:r>
    </w:p>
    <w:p w14:paraId="7262BC00" w14:textId="77777777" w:rsidR="003C566A" w:rsidRPr="003C566A" w:rsidRDefault="003C566A" w:rsidP="003C566A">
      <w:pPr>
        <w:numPr>
          <w:ilvl w:val="0"/>
          <w:numId w:val="3"/>
        </w:numPr>
        <w:rPr>
          <w:b/>
          <w:bCs/>
        </w:rPr>
      </w:pPr>
      <w:r w:rsidRPr="003C566A">
        <w:rPr>
          <w:b/>
          <w:bCs/>
        </w:rPr>
        <w:t>Machinery and Equipment: Encompasses power tools, industrial equipment, and vehicle components (such as safety system or computer failures).</w:t>
      </w:r>
    </w:p>
    <w:p w14:paraId="50D34130" w14:textId="77777777" w:rsidR="003C566A" w:rsidRPr="003C566A" w:rsidRDefault="003C566A" w:rsidP="003C566A">
      <w:pPr>
        <w:numPr>
          <w:ilvl w:val="0"/>
          <w:numId w:val="3"/>
        </w:numPr>
        <w:rPr>
          <w:b/>
          <w:bCs/>
        </w:rPr>
      </w:pPr>
      <w:r w:rsidRPr="003C566A">
        <w:rPr>
          <w:b/>
          <w:bCs/>
        </w:rPr>
        <w:t>Consumer Goods: Recent examples include defective bicycle components and exploding vape pens, which may present additional jurisdictional challenges if manufactured overseas.</w:t>
      </w:r>
    </w:p>
    <w:p w14:paraId="5378AB93" w14:textId="77777777" w:rsidR="003C566A" w:rsidRPr="003C566A" w:rsidRDefault="003C566A" w:rsidP="003C566A">
      <w:pPr>
        <w:rPr>
          <w:b/>
          <w:bCs/>
        </w:rPr>
      </w:pPr>
      <w:r w:rsidRPr="003C566A">
        <w:rPr>
          <w:b/>
          <w:bCs/>
        </w:rPr>
        <w:pict w14:anchorId="73B0EB9F">
          <v:rect id="_x0000_i1114" style="width:0;height:1.5pt" o:hralign="center" o:hrstd="t" o:hr="t" fillcolor="#a0a0a0" stroked="f"/>
        </w:pict>
      </w:r>
    </w:p>
    <w:p w14:paraId="575AF7C6" w14:textId="77777777" w:rsidR="003C566A" w:rsidRPr="003C566A" w:rsidRDefault="003C566A" w:rsidP="003C566A">
      <w:pPr>
        <w:rPr>
          <w:b/>
          <w:bCs/>
        </w:rPr>
      </w:pPr>
      <w:r w:rsidRPr="003C566A">
        <w:rPr>
          <w:b/>
          <w:bCs/>
        </w:rPr>
        <w:t>Procedural Standards: Critical Deadlines</w:t>
      </w:r>
    </w:p>
    <w:p w14:paraId="57E04ACF" w14:textId="77777777" w:rsidR="003C566A" w:rsidRPr="003C566A" w:rsidRDefault="003C566A" w:rsidP="003C566A">
      <w:pPr>
        <w:rPr>
          <w:b/>
          <w:bCs/>
        </w:rPr>
      </w:pPr>
      <w:r w:rsidRPr="003C566A">
        <w:rPr>
          <w:b/>
          <w:bCs/>
        </w:rPr>
        <w:t xml:space="preserve">Idaho imposes strict time limits that can permanently </w:t>
      </w:r>
      <w:proofErr w:type="gramStart"/>
      <w:r w:rsidRPr="003C566A">
        <w:rPr>
          <w:b/>
          <w:bCs/>
        </w:rPr>
        <w:t>bar</w:t>
      </w:r>
      <w:proofErr w:type="gramEnd"/>
      <w:r w:rsidRPr="003C566A">
        <w:rPr>
          <w:b/>
          <w:bCs/>
        </w:rPr>
        <w:t xml:space="preserve"> a claim if missed.</w:t>
      </w:r>
    </w:p>
    <w:p w14:paraId="52A2C5E8" w14:textId="77777777" w:rsidR="003C566A" w:rsidRPr="003C566A" w:rsidRDefault="003C566A" w:rsidP="003C566A">
      <w:pPr>
        <w:numPr>
          <w:ilvl w:val="0"/>
          <w:numId w:val="4"/>
        </w:numPr>
        <w:rPr>
          <w:b/>
          <w:bCs/>
        </w:rPr>
      </w:pPr>
      <w:r w:rsidRPr="003C566A">
        <w:rPr>
          <w:b/>
          <w:bCs/>
        </w:rPr>
        <w:t>General Statute of Limitations: Idaho law generally provides two years from the date of the injury to file a personal injury or product liability claim.</w:t>
      </w:r>
    </w:p>
    <w:p w14:paraId="498F45E6" w14:textId="77777777" w:rsidR="003C566A" w:rsidRPr="003C566A" w:rsidRDefault="003C566A" w:rsidP="003C566A">
      <w:pPr>
        <w:numPr>
          <w:ilvl w:val="0"/>
          <w:numId w:val="4"/>
        </w:numPr>
        <w:rPr>
          <w:b/>
          <w:bCs/>
        </w:rPr>
      </w:pPr>
      <w:r w:rsidRPr="003C566A">
        <w:rPr>
          <w:b/>
          <w:bCs/>
        </w:rPr>
        <w:t>Statute of Repose: This separate deadline limits claims based on the age of the product rather than the date of injury. Even if an injury occurred recently, a product that is sufficiently old (e.g., 10 or 12 years) may be legally outside the window for litigation.</w:t>
      </w:r>
    </w:p>
    <w:p w14:paraId="1879629F" w14:textId="77777777" w:rsidR="003C566A" w:rsidRPr="003C566A" w:rsidRDefault="003C566A" w:rsidP="003C566A">
      <w:pPr>
        <w:rPr>
          <w:b/>
          <w:bCs/>
        </w:rPr>
      </w:pPr>
      <w:r w:rsidRPr="003C566A">
        <w:rPr>
          <w:b/>
          <w:bCs/>
        </w:rPr>
        <w:pict w14:anchorId="654C18D0">
          <v:rect id="_x0000_i1115" style="width:0;height:1.5pt" o:hralign="center" o:hrstd="t" o:hr="t" fillcolor="#a0a0a0" stroked="f"/>
        </w:pict>
      </w:r>
    </w:p>
    <w:p w14:paraId="03C92DFB" w14:textId="77777777" w:rsidR="003C566A" w:rsidRPr="003C566A" w:rsidRDefault="003C566A" w:rsidP="003C566A">
      <w:pPr>
        <w:rPr>
          <w:b/>
          <w:bCs/>
        </w:rPr>
      </w:pPr>
      <w:r w:rsidRPr="003C566A">
        <w:rPr>
          <w:b/>
          <w:bCs/>
        </w:rPr>
        <w:t>Requirements and Best Practices for Injured Parties</w:t>
      </w:r>
    </w:p>
    <w:p w14:paraId="57F59CD8" w14:textId="77777777" w:rsidR="003C566A" w:rsidRPr="003C566A" w:rsidRDefault="003C566A" w:rsidP="003C566A">
      <w:pPr>
        <w:rPr>
          <w:b/>
          <w:bCs/>
        </w:rPr>
      </w:pPr>
      <w:r w:rsidRPr="003C566A">
        <w:rPr>
          <w:b/>
          <w:bCs/>
        </w:rPr>
        <w:t>Evidence Preservation</w:t>
      </w:r>
    </w:p>
    <w:p w14:paraId="048F002F" w14:textId="77777777" w:rsidR="003C566A" w:rsidRPr="003C566A" w:rsidRDefault="003C566A" w:rsidP="003C566A">
      <w:pPr>
        <w:numPr>
          <w:ilvl w:val="0"/>
          <w:numId w:val="5"/>
        </w:numPr>
        <w:rPr>
          <w:b/>
          <w:bCs/>
        </w:rPr>
      </w:pPr>
      <w:r w:rsidRPr="003C566A">
        <w:rPr>
          <w:b/>
          <w:bCs/>
        </w:rPr>
        <w:t xml:space="preserve">Do Not Return the Product: The product is critical physical evidence. Manufacturers often request </w:t>
      </w:r>
      <w:proofErr w:type="gramStart"/>
      <w:r w:rsidRPr="003C566A">
        <w:rPr>
          <w:b/>
          <w:bCs/>
        </w:rPr>
        <w:t>its</w:t>
      </w:r>
      <w:proofErr w:type="gramEnd"/>
      <w:r w:rsidRPr="003C566A">
        <w:rPr>
          <w:b/>
          <w:bCs/>
        </w:rPr>
        <w:t xml:space="preserve"> return for "inspection," but this can lead to the product being lost, altered, or made unavailable for independent review.</w:t>
      </w:r>
    </w:p>
    <w:p w14:paraId="7D06CC42" w14:textId="77777777" w:rsidR="003C566A" w:rsidRPr="003C566A" w:rsidRDefault="003C566A" w:rsidP="003C566A">
      <w:pPr>
        <w:numPr>
          <w:ilvl w:val="0"/>
          <w:numId w:val="5"/>
        </w:numPr>
        <w:rPr>
          <w:b/>
          <w:bCs/>
        </w:rPr>
      </w:pPr>
      <w:r w:rsidRPr="003C566A">
        <w:rPr>
          <w:b/>
          <w:bCs/>
        </w:rPr>
        <w:t>Controlled Inspection: Retain the product and arrange for any manufacturer inspection to take place at a location under the control of the injured party or their attorney.</w:t>
      </w:r>
    </w:p>
    <w:p w14:paraId="08D7013B" w14:textId="77777777" w:rsidR="003C566A" w:rsidRPr="003C566A" w:rsidRDefault="003C566A" w:rsidP="003C566A">
      <w:pPr>
        <w:rPr>
          <w:b/>
          <w:bCs/>
        </w:rPr>
      </w:pPr>
      <w:r w:rsidRPr="003C566A">
        <w:rPr>
          <w:b/>
          <w:bCs/>
        </w:rPr>
        <w:t>Choosing Legal Representation</w:t>
      </w:r>
    </w:p>
    <w:p w14:paraId="3B56F4A6" w14:textId="77777777" w:rsidR="003C566A" w:rsidRPr="003C566A" w:rsidRDefault="003C566A" w:rsidP="003C566A">
      <w:pPr>
        <w:rPr>
          <w:b/>
          <w:bCs/>
        </w:rPr>
      </w:pPr>
      <w:r w:rsidRPr="003C566A">
        <w:rPr>
          <w:b/>
          <w:bCs/>
        </w:rPr>
        <w:t>Selecting an attorney for these cases requires specialized qualifications.</w:t>
      </w:r>
    </w:p>
    <w:p w14:paraId="11F45156" w14:textId="77777777" w:rsidR="003C566A" w:rsidRPr="003C566A" w:rsidRDefault="003C566A" w:rsidP="003C566A">
      <w:pPr>
        <w:numPr>
          <w:ilvl w:val="0"/>
          <w:numId w:val="6"/>
        </w:numPr>
        <w:rPr>
          <w:b/>
          <w:bCs/>
        </w:rPr>
      </w:pPr>
      <w:r w:rsidRPr="003C566A">
        <w:rPr>
          <w:b/>
          <w:bCs/>
        </w:rPr>
        <w:t xml:space="preserve">Technical Expertise: Attorneys must be able to identify and coordinate with </w:t>
      </w:r>
      <w:proofErr w:type="gramStart"/>
      <w:r w:rsidRPr="003C566A">
        <w:rPr>
          <w:b/>
          <w:bCs/>
        </w:rPr>
        <w:t>mechanical,</w:t>
      </w:r>
      <w:proofErr w:type="gramEnd"/>
      <w:r w:rsidRPr="003C566A">
        <w:rPr>
          <w:b/>
          <w:bCs/>
        </w:rPr>
        <w:t xml:space="preserve"> materials, or medical engineering experts to establish the nature of the defect.</w:t>
      </w:r>
    </w:p>
    <w:p w14:paraId="64E0F93A" w14:textId="77777777" w:rsidR="003C566A" w:rsidRPr="003C566A" w:rsidRDefault="003C566A" w:rsidP="003C566A">
      <w:pPr>
        <w:numPr>
          <w:ilvl w:val="0"/>
          <w:numId w:val="6"/>
        </w:numPr>
        <w:rPr>
          <w:b/>
          <w:bCs/>
        </w:rPr>
      </w:pPr>
      <w:r w:rsidRPr="003C566A">
        <w:rPr>
          <w:b/>
          <w:bCs/>
        </w:rPr>
        <w:lastRenderedPageBreak/>
        <w:t>Jurisdictional Advantage: Local Idaho counsel understands the state's specific courts and legal environment while providing a point of contact for national specialists if needed.</w:t>
      </w:r>
    </w:p>
    <w:p w14:paraId="25C60DA0" w14:textId="77777777" w:rsidR="003C566A" w:rsidRPr="003C566A" w:rsidRDefault="003C566A" w:rsidP="003C566A">
      <w:pPr>
        <w:numPr>
          <w:ilvl w:val="0"/>
          <w:numId w:val="6"/>
        </w:numPr>
        <w:rPr>
          <w:b/>
          <w:bCs/>
        </w:rPr>
      </w:pPr>
      <w:r w:rsidRPr="003C566A">
        <w:rPr>
          <w:b/>
          <w:bCs/>
        </w:rPr>
        <w:t>Contingency Fee Structure: Most cases are handled on a contingency basis, where the attorney is paid a percentage (typically 25% to 40%) only upon successful recovery. Expert costs are often advanced by the firm and should be discussed openly before representation begins.</w:t>
      </w:r>
    </w:p>
    <w:p w14:paraId="3A0567A7" w14:textId="77777777" w:rsidR="003C566A" w:rsidRPr="003C566A" w:rsidRDefault="003C566A" w:rsidP="003C566A">
      <w:pPr>
        <w:rPr>
          <w:b/>
          <w:bCs/>
        </w:rPr>
      </w:pPr>
      <w:r w:rsidRPr="003C566A">
        <w:rPr>
          <w:b/>
          <w:bCs/>
        </w:rPr>
        <w:pict w14:anchorId="3360CCB0">
          <v:rect id="_x0000_i1116" style="width:0;height:1.5pt" o:hralign="center" o:hrstd="t" o:hr="t" fillcolor="#a0a0a0" stroked="f"/>
        </w:pict>
      </w:r>
    </w:p>
    <w:p w14:paraId="7C6631CE" w14:textId="77777777" w:rsidR="003C566A" w:rsidRPr="003C566A" w:rsidRDefault="003C566A" w:rsidP="003C566A">
      <w:pPr>
        <w:rPr>
          <w:b/>
          <w:bCs/>
        </w:rPr>
      </w:pPr>
      <w:r w:rsidRPr="003C566A">
        <w:rPr>
          <w:b/>
          <w:bCs/>
        </w:rPr>
        <w:t>Recoverable Compensation</w:t>
      </w:r>
    </w:p>
    <w:p w14:paraId="77919841" w14:textId="77777777" w:rsidR="003C566A" w:rsidRPr="003C566A" w:rsidRDefault="003C566A" w:rsidP="003C566A">
      <w:pPr>
        <w:rPr>
          <w:b/>
          <w:bCs/>
        </w:rPr>
      </w:pPr>
      <w:r w:rsidRPr="003C566A">
        <w:rPr>
          <w:b/>
          <w:bCs/>
        </w:rPr>
        <w:t>Damages in product liability cases encompass both the financial and personal impact of the injury.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7494"/>
      </w:tblGrid>
      <w:tr w:rsidR="003C566A" w:rsidRPr="003C566A" w14:paraId="4641FC0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8AEF86" w14:textId="77777777" w:rsidR="003C566A" w:rsidRPr="003C566A" w:rsidRDefault="003C566A" w:rsidP="003C566A">
            <w:pPr>
              <w:rPr>
                <w:b/>
                <w:bCs/>
              </w:rPr>
            </w:pPr>
            <w:r w:rsidRPr="003C566A">
              <w:rPr>
                <w:b/>
                <w:bC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3AF8A" w14:textId="77777777" w:rsidR="003C566A" w:rsidRPr="003C566A" w:rsidRDefault="003C566A" w:rsidP="003C566A">
            <w:pPr>
              <w:rPr>
                <w:b/>
                <w:bCs/>
              </w:rPr>
            </w:pPr>
            <w:r w:rsidRPr="003C566A">
              <w:rPr>
                <w:b/>
                <w:bCs/>
              </w:rPr>
              <w:t>Description</w:t>
            </w:r>
          </w:p>
        </w:tc>
      </w:tr>
      <w:tr w:rsidR="003C566A" w:rsidRPr="003C566A" w14:paraId="6FA7E6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6E698A" w14:textId="77777777" w:rsidR="003C566A" w:rsidRPr="003C566A" w:rsidRDefault="003C566A" w:rsidP="003C566A">
            <w:pPr>
              <w:rPr>
                <w:b/>
                <w:bCs/>
              </w:rPr>
            </w:pPr>
            <w:r w:rsidRPr="003C566A">
              <w:rPr>
                <w:b/>
                <w:bCs/>
              </w:rPr>
              <w:t>Medical Expenses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D3BA88" w14:textId="77777777" w:rsidR="003C566A" w:rsidRPr="003C566A" w:rsidRDefault="003C566A" w:rsidP="003C566A">
            <w:pPr>
              <w:rPr>
                <w:b/>
                <w:bCs/>
              </w:rPr>
            </w:pPr>
            <w:r w:rsidRPr="003C566A">
              <w:rPr>
                <w:b/>
                <w:bCs/>
              </w:rPr>
              <w:t>Covers all treatment costs from the incident through resolution, including anticipated future care.</w:t>
            </w:r>
          </w:p>
        </w:tc>
      </w:tr>
      <w:tr w:rsidR="003C566A" w:rsidRPr="003C566A" w14:paraId="1D1ABA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4B0F97" w14:textId="77777777" w:rsidR="003C566A" w:rsidRPr="003C566A" w:rsidRDefault="003C566A" w:rsidP="003C566A">
            <w:pPr>
              <w:rPr>
                <w:b/>
                <w:bCs/>
              </w:rPr>
            </w:pPr>
            <w:r w:rsidRPr="003C566A">
              <w:rPr>
                <w:b/>
                <w:bCs/>
              </w:rPr>
              <w:t>Lost Income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1D951" w14:textId="77777777" w:rsidR="003C566A" w:rsidRPr="003C566A" w:rsidRDefault="003C566A" w:rsidP="003C566A">
            <w:pPr>
              <w:rPr>
                <w:b/>
                <w:bCs/>
              </w:rPr>
            </w:pPr>
            <w:r w:rsidRPr="003C566A">
              <w:rPr>
                <w:b/>
                <w:bCs/>
              </w:rPr>
              <w:t>Includes wages lost during recovery and long-term loss of earning capacity if the person cannot return to work.</w:t>
            </w:r>
          </w:p>
        </w:tc>
      </w:tr>
      <w:tr w:rsidR="003C566A" w:rsidRPr="003C566A" w14:paraId="448526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721560" w14:textId="77777777" w:rsidR="003C566A" w:rsidRPr="003C566A" w:rsidRDefault="003C566A" w:rsidP="003C566A">
            <w:pPr>
              <w:rPr>
                <w:b/>
                <w:bCs/>
              </w:rPr>
            </w:pPr>
            <w:r w:rsidRPr="003C566A">
              <w:rPr>
                <w:b/>
                <w:bCs/>
              </w:rPr>
              <w:t>Non-Economic Damages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AAB8ED" w14:textId="77777777" w:rsidR="003C566A" w:rsidRPr="003C566A" w:rsidRDefault="003C566A" w:rsidP="003C566A">
            <w:pPr>
              <w:rPr>
                <w:b/>
                <w:bCs/>
              </w:rPr>
            </w:pPr>
            <w:r w:rsidRPr="003C566A">
              <w:rPr>
                <w:b/>
                <w:bCs/>
              </w:rPr>
              <w:t>Includes physical pain, emotional distress, loss of freedom, and isolation. Note: Idaho law imposes a statutory cap on certain non-economic damages.</w:t>
            </w:r>
          </w:p>
        </w:tc>
      </w:tr>
    </w:tbl>
    <w:p w14:paraId="3D2C2758" w14:textId="77777777" w:rsidR="003F20B7" w:rsidRPr="003C566A" w:rsidRDefault="003F20B7" w:rsidP="003C566A"/>
    <w:sectPr w:rsidR="003F20B7" w:rsidRPr="003C56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F1F70"/>
    <w:multiLevelType w:val="multilevel"/>
    <w:tmpl w:val="88CE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8E0433"/>
    <w:multiLevelType w:val="multilevel"/>
    <w:tmpl w:val="AD10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ED1F88"/>
    <w:multiLevelType w:val="multilevel"/>
    <w:tmpl w:val="D620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2B452B"/>
    <w:multiLevelType w:val="multilevel"/>
    <w:tmpl w:val="8DB8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084DD2"/>
    <w:multiLevelType w:val="multilevel"/>
    <w:tmpl w:val="4F06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E705DB"/>
    <w:multiLevelType w:val="multilevel"/>
    <w:tmpl w:val="B04E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949413">
    <w:abstractNumId w:val="4"/>
  </w:num>
  <w:num w:numId="2" w16cid:durableId="926310262">
    <w:abstractNumId w:val="1"/>
  </w:num>
  <w:num w:numId="3" w16cid:durableId="2006012508">
    <w:abstractNumId w:val="5"/>
  </w:num>
  <w:num w:numId="4" w16cid:durableId="222259959">
    <w:abstractNumId w:val="2"/>
  </w:num>
  <w:num w:numId="5" w16cid:durableId="135877635">
    <w:abstractNumId w:val="3"/>
  </w:num>
  <w:num w:numId="6" w16cid:durableId="1420520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9CB"/>
    <w:rsid w:val="0026565B"/>
    <w:rsid w:val="00293011"/>
    <w:rsid w:val="003C566A"/>
    <w:rsid w:val="003F20B7"/>
    <w:rsid w:val="0046217E"/>
    <w:rsid w:val="00627845"/>
    <w:rsid w:val="007D0DA2"/>
    <w:rsid w:val="00C049CB"/>
    <w:rsid w:val="00E67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C2704"/>
  <w15:chartTrackingRefBased/>
  <w15:docId w15:val="{13BCF367-D9A3-493E-A6A6-3CDB2D409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9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9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9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9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9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9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9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9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9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9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9CB"/>
    <w:rPr>
      <w:rFonts w:eastAsiaTheme="majorEastAsia" w:cstheme="majorBidi"/>
      <w:color w:val="272727" w:themeColor="text1" w:themeTint="D8"/>
    </w:rPr>
  </w:style>
  <w:style w:type="paragraph" w:styleId="Title">
    <w:name w:val="Title"/>
    <w:basedOn w:val="Normal"/>
    <w:next w:val="Normal"/>
    <w:link w:val="TitleChar"/>
    <w:uiPriority w:val="10"/>
    <w:qFormat/>
    <w:rsid w:val="00C04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9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9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9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9CB"/>
    <w:pPr>
      <w:spacing w:before="160"/>
      <w:jc w:val="center"/>
    </w:pPr>
    <w:rPr>
      <w:i/>
      <w:iCs/>
      <w:color w:val="404040" w:themeColor="text1" w:themeTint="BF"/>
    </w:rPr>
  </w:style>
  <w:style w:type="character" w:customStyle="1" w:styleId="QuoteChar">
    <w:name w:val="Quote Char"/>
    <w:basedOn w:val="DefaultParagraphFont"/>
    <w:link w:val="Quote"/>
    <w:uiPriority w:val="29"/>
    <w:rsid w:val="00C049CB"/>
    <w:rPr>
      <w:i/>
      <w:iCs/>
      <w:color w:val="404040" w:themeColor="text1" w:themeTint="BF"/>
    </w:rPr>
  </w:style>
  <w:style w:type="paragraph" w:styleId="ListParagraph">
    <w:name w:val="List Paragraph"/>
    <w:basedOn w:val="Normal"/>
    <w:uiPriority w:val="34"/>
    <w:qFormat/>
    <w:rsid w:val="00C049CB"/>
    <w:pPr>
      <w:ind w:left="720"/>
      <w:contextualSpacing/>
    </w:pPr>
  </w:style>
  <w:style w:type="character" w:styleId="IntenseEmphasis">
    <w:name w:val="Intense Emphasis"/>
    <w:basedOn w:val="DefaultParagraphFont"/>
    <w:uiPriority w:val="21"/>
    <w:qFormat/>
    <w:rsid w:val="00C049CB"/>
    <w:rPr>
      <w:i/>
      <w:iCs/>
      <w:color w:val="0F4761" w:themeColor="accent1" w:themeShade="BF"/>
    </w:rPr>
  </w:style>
  <w:style w:type="paragraph" w:styleId="IntenseQuote">
    <w:name w:val="Intense Quote"/>
    <w:basedOn w:val="Normal"/>
    <w:next w:val="Normal"/>
    <w:link w:val="IntenseQuoteChar"/>
    <w:uiPriority w:val="30"/>
    <w:qFormat/>
    <w:rsid w:val="00C04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9CB"/>
    <w:rPr>
      <w:i/>
      <w:iCs/>
      <w:color w:val="0F4761" w:themeColor="accent1" w:themeShade="BF"/>
    </w:rPr>
  </w:style>
  <w:style w:type="character" w:styleId="IntenseReference">
    <w:name w:val="Intense Reference"/>
    <w:basedOn w:val="DefaultParagraphFont"/>
    <w:uiPriority w:val="32"/>
    <w:qFormat/>
    <w:rsid w:val="00C049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689</Words>
  <Characters>3862</Characters>
  <Application>Microsoft Office Word</Application>
  <DocSecurity>0</DocSecurity>
  <Lines>65</Lines>
  <Paragraphs>27</Paragraphs>
  <ScaleCrop>false</ScaleCrop>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Grant</dc:creator>
  <cp:keywords/>
  <dc:description/>
  <cp:lastModifiedBy>Heather Granbois</cp:lastModifiedBy>
  <cp:revision>3</cp:revision>
  <dcterms:created xsi:type="dcterms:W3CDTF">2026-03-06T21:15:00Z</dcterms:created>
  <dcterms:modified xsi:type="dcterms:W3CDTF">2026-03-09T18:40:00Z</dcterms:modified>
</cp:coreProperties>
</file>