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Governance-Driven Resolution Lattice</w:t>
      </w:r>
    </w:p>
    <w:p>
      <w:pPr>
        <w:pStyle w:val="Subtitle"/>
      </w:pPr>
      <w:r>
        <w:t>From Human Purpose to Abstract Relationships to Executable Architecture</w:t>
      </w:r>
    </w:p>
    <w:p>
      <w:r>
        <w:t>Version 0.4  |  15 October 2026  |  Integrated Working White Paper</w:t>
      </w:r>
    </w:p>
    <w:p>
      <w:r>
        <w:t>A model-agnostic framework for preserving possibility while determining what is sufficient.</w:t>
      </w:r>
    </w:p>
    <w:p>
      <w:pPr>
        <w:pStyle w:val="Heading1"/>
      </w:pPr>
      <w:r>
        <w:t>Part I. Philosophy | Why</w:t>
      </w:r>
    </w:p>
    <w:p>
      <w:pPr>
        <w:pStyle w:val="Heading2"/>
      </w:pPr>
      <w:r>
        <w:t>1. The purpose of resolution</w:t>
      </w:r>
    </w:p>
    <w:p>
      <w:r>
        <w:t>Every attempt to understand or accomplish something involves choices about what matters, what may remain open, and when enough has been achieved. The Governance-Driven Resolution Lattice begins with the human purpose behind those choices.</w:t>
      </w:r>
    </w:p>
    <w:p>
      <w:r>
        <w:t>The aim is to reach an acceptable understanding or outcome without unnecessarily limiting the possibilities around it. We can solve a problem and still preserve what did not need to be resolved. Completion does not require eliminating every difference.</w:t>
      </w:r>
    </w:p>
    <w:p>
      <w:r>
        <w:t>A person may be trying to understand a question, make a decision, create something, or coordinate work with others. The intention establishes why the effort exists. Governance expresses which distinctions are important to that intention and what conditions would constitute an acceptable outcome.</w:t>
      </w:r>
    </w:p>
    <w:p>
      <w:pPr>
        <w:pStyle w:val="Heading2"/>
      </w:pPr>
      <w:r>
        <w:t>2. Difference, equivalence, and possibility</w:t>
      </w:r>
    </w:p>
    <w:p>
      <w:r>
        <w:t>Not every difference matters. Two answers may be expressed differently and still be equally appropriate for the task. Several paths may remain available even after one acceptable destination has been reached. When differences are immaterial, forcing a single answer consumes resources and may destroy useful freedom.</w:t>
      </w:r>
    </w:p>
    <w:p>
      <w:r>
        <w:t>Some differences change everything. They may alter a required fact, break a dependency, introduce an unsupported assumption, or violate the human purpose. Those differences need examination and, when necessary, correction.</w:t>
      </w:r>
    </w:p>
    <w:p>
      <w:r>
        <w:t>The central discipline is selective: distinguish the differences that must be resolved from the variation that can remain open. Equivalence depends on what the work is for. The same alternatives can be interchangeable in one context and materially different in another.</w:t>
      </w:r>
    </w:p>
    <w:p>
      <w:pPr>
        <w:pStyle w:val="Heading2"/>
      </w:pPr>
      <w:r>
        <w:t>3. Learning without erasing mistakes</w:t>
      </w:r>
    </w:p>
    <w:p>
      <w:r>
        <w:t>A mistaken candidate need not render its entire history worthless. It may contain a useful contribution, expose an assumption, or show exactly where a relationship fails. Preserving those relationships allows correction without erasing what has been learned.</w:t>
      </w:r>
    </w:p>
    <w:p>
      <w:r>
        <w:t>Progress can include forward movement, reconsideration, reversal, and a new direction. The history matters because an acceptable result does not explain itself: understanding how it emerged helps preserve continuity and enables future recovery.</w:t>
      </w:r>
    </w:p>
    <w:p>
      <w:pPr>
        <w:pStyle w:val="Heading2"/>
      </w:pPr>
      <w:r>
        <w:t>4. Cohesion, Validity, and Spirit</w:t>
      </w:r>
    </w:p>
    <w:p>
      <w:r>
        <w:rPr>
          <w:b/>
        </w:rPr>
        <w:t xml:space="preserve">Cohesion: </w:t>
      </w:r>
      <w:r>
        <w:t>Asks whether the meaningful relationships still hold together.</w:t>
      </w:r>
    </w:p>
    <w:p>
      <w:r>
        <w:rPr>
          <w:b/>
        </w:rPr>
        <w:t xml:space="preserve">Validity: </w:t>
      </w:r>
      <w:r>
        <w:t>Asks whether what must be determined has been appropriately resolved, while permitting mistakes and corrections along the way.</w:t>
      </w:r>
    </w:p>
    <w:p>
      <w:r>
        <w:rPr>
          <w:b/>
        </w:rPr>
        <w:t xml:space="preserve">Spirit: </w:t>
      </w:r>
      <w:r>
        <w:t>Asks whether the freedom, possibility, and human intention that give the work meaning have been preserved.</w:t>
      </w:r>
    </w:p>
    <w:p>
      <w:r>
        <w:t>These concerns can exert different pressures. Validity may require precision in a technical requirement while Spirit permits many acceptable expressions of it. Cohesion asks whether those expressions preserve the necessary connections. The governing purpose determines where each concern applies.</w:t>
      </w:r>
    </w:p>
    <w:p>
      <w:pPr>
        <w:pStyle w:val="Heading2"/>
      </w:pPr>
      <w:r>
        <w:t>5. Enough and human authority</w:t>
      </w:r>
    </w:p>
    <w:p>
      <w:r>
        <w:t>Endless examination is not inherently better examination. Once the question has been answered sufficiently for its purpose, additional exploration may add little. In other cases, continued generation may increase ambiguity, drift from the intention, or exhaust the available time, attention, and compute.</w:t>
      </w:r>
    </w:p>
    <w:p>
      <w:r>
        <w:t>Recognizing Enough means allowing a result to be accepted without pretending all possible questions have been closed. Reaching a resource limit is different: work can stop without being validated or sufficiently resolved. Human authority remains central to deciding what matters, directing pivots, and approving outcomes under the chosen governance.</w:t>
      </w:r>
    </w:p>
    <w:p>
      <w:pPr/>
      <w:r>
        <w:rPr>
          <w:b/>
        </w:rPr>
        <w:t>Governing principle: Resolve what matters. Preserve what remains possible. Stop when enough has been achieved.</w:t>
      </w:r>
    </w:p>
    <w:p>
      <w:r>
        <w:t>The purpose is to reach sufficient understanding while preserving everything that does not need to be sacrificed to achieve it.</w:t>
      </w:r>
    </w:p>
    <w:p>
      <w:pPr>
        <w:pStyle w:val="Heading1"/>
      </w:pPr>
      <w:r>
        <w:t>Transition: From purpose to relationships</w:t>
      </w:r>
    </w:p>
    <w:p>
      <w:r>
        <w:t>A philosophy of selective resolution requires a language that can represent different outcomes without presupposing an AI model, a scoring scale, or an algorithm. The following abstraction describes the relationships that make such reasoning possible.</w:t>
      </w:r>
    </w:p>
    <w:p>
      <w:pPr>
        <w:pStyle w:val="Heading1"/>
      </w:pPr>
      <w:r>
        <w:t>Part II. Abstraction | What</w:t>
      </w:r>
    </w:p>
    <w:p>
      <w:pPr>
        <w:pStyle w:val="Heading2"/>
      </w:pPr>
      <w:r>
        <w:t>6. The abstract resolution space</w:t>
      </w:r>
    </w:p>
    <w:p>
      <w:r>
        <w:t>Consider a space of possible states, connections among those states, governing relationships, human intent, and applicable boundaries. The lattice describes this space. A particular execution follows one path through it, while other possibilities and their provenance can remain represented.</w:t>
      </w:r>
    </w:p>
    <w:p>
      <w:r>
        <w:t>Let the abstract system be L = (S, T, G, H, B), where:</w:t>
      </w:r>
    </w:p>
    <w:tbl>
      <w:tblPr>
        <w:tblStyle w:val="LightShading-Accent1"/>
        <w:tblW w:type="auto" w:w="0"/>
        <w:jc w:val="center"/>
        <w:tblLook w:firstColumn="1" w:firstRow="1" w:lastColumn="0" w:lastRow="0" w:noHBand="0" w:noVBand="1" w:val="04A0"/>
      </w:tblPr>
      <w:tblGrid>
        <w:gridCol w:w="4824"/>
        <w:gridCol w:w="4824"/>
      </w:tblGrid>
      <w:tr>
        <w:tc>
          <w:tcPr>
            <w:tcW w:type="dxa" w:w="4824"/>
          </w:tcPr>
          <w:p>
            <w:r>
              <w:t>Element</w:t>
            </w:r>
          </w:p>
        </w:tc>
        <w:tc>
          <w:tcPr>
            <w:tcW w:type="dxa" w:w="4824"/>
          </w:tcPr>
          <w:p>
            <w:r>
              <w:t>Meaning</w:t>
            </w:r>
          </w:p>
        </w:tc>
      </w:tr>
      <w:tr>
        <w:tc>
          <w:tcPr>
            <w:tcW w:type="dxa" w:w="4824"/>
          </w:tcPr>
          <w:p>
            <w:r>
              <w:t>S</w:t>
            </w:r>
          </w:p>
        </w:tc>
        <w:tc>
          <w:tcPr>
            <w:tcW w:type="dxa" w:w="4824"/>
          </w:tcPr>
          <w:p>
            <w:r>
              <w:t>Possible states and candidate outcomes</w:t>
            </w:r>
          </w:p>
        </w:tc>
      </w:tr>
      <w:tr>
        <w:tc>
          <w:tcPr>
            <w:tcW w:type="dxa" w:w="4824"/>
          </w:tcPr>
          <w:p>
            <w:r>
              <w:t>T</w:t>
            </w:r>
          </w:p>
        </w:tc>
        <w:tc>
          <w:tcPr>
            <w:tcW w:type="dxa" w:w="4824"/>
          </w:tcPr>
          <w:p>
            <w:r>
              <w:t>Relationships and transformations among those states</w:t>
            </w:r>
          </w:p>
        </w:tc>
      </w:tr>
      <w:tr>
        <w:tc>
          <w:tcPr>
            <w:tcW w:type="dxa" w:w="4824"/>
          </w:tcPr>
          <w:p>
            <w:r>
              <w:t>G</w:t>
            </w:r>
          </w:p>
        </w:tc>
        <w:tc>
          <w:tcPr>
            <w:tcW w:type="dxa" w:w="4824"/>
          </w:tcPr>
          <w:p>
            <w:r>
              <w:t>Governance: what is significant, equivalent, admissible, and acceptable</w:t>
            </w:r>
          </w:p>
        </w:tc>
      </w:tr>
      <w:tr>
        <w:tc>
          <w:tcPr>
            <w:tcW w:type="dxa" w:w="4824"/>
          </w:tcPr>
          <w:p>
            <w:r>
              <w:t>H</w:t>
            </w:r>
          </w:p>
        </w:tc>
        <w:tc>
          <w:tcPr>
            <w:tcW w:type="dxa" w:w="4824"/>
          </w:tcPr>
          <w:p>
            <w:r>
              <w:t>Human intent and the authority relevant to the work</w:t>
            </w:r>
          </w:p>
        </w:tc>
      </w:tr>
      <w:tr>
        <w:tc>
          <w:tcPr>
            <w:tcW w:type="dxa" w:w="4824"/>
          </w:tcPr>
          <w:p>
            <w:r>
              <w:t>B</w:t>
            </w:r>
          </w:p>
        </w:tc>
        <w:tc>
          <w:tcPr>
            <w:tcW w:type="dxa" w:w="4824"/>
          </w:tcPr>
          <w:p>
            <w:r>
              <w:t>Boundaries of sufficiency, resources, and continuation</w:t>
            </w:r>
          </w:p>
        </w:tc>
      </w:tr>
    </w:tbl>
    <w:p>
      <w:r>
        <w:t>The notation identifies conceptual roles, not prescribed software components. The same relationships may be represented mathematically, narratively, symbolically, or computationally.</w:t>
      </w:r>
    </w:p>
    <w:p>
      <w:pPr>
        <w:pStyle w:val="Heading2"/>
      </w:pPr>
      <w:r>
        <w:t>7. Transformation without forced closure</w:t>
      </w:r>
    </w:p>
    <w:p>
      <w:r>
        <w:t>A transformation relates two states. It may preserve, introduce, remove, or reorganize contributions. The relationship need not imply a final result, improvement, or one-way closure. The circumstances of the comparison determine what the change means.</w:t>
      </w:r>
    </w:p>
    <w:p>
      <w:r>
        <w:t>Write Sₐ ~ₜ Sᵦ to denote a transformation relationship between states. The transform may have a history, supporting contributions, dependencies, and alternate paths. None of these requires the states to be strictly ordered by a single numerical score.</w:t>
      </w:r>
    </w:p>
    <w:p>
      <w:pPr>
        <w:pStyle w:val="Heading2"/>
      </w:pPr>
      <w:r>
        <w:t>8. Governance-relative equivalence and materiality</w:t>
      </w:r>
    </w:p>
    <w:p>
      <w:r>
        <w:t>Two states are equivalent for the present purpose if their differences do not materially alter the governing outcome. Write Sₐ ≡G,H Sᵦ. This means substitutability under the applicable governance and intention, not universal identity.</w:t>
      </w:r>
    </w:p>
    <w:p>
      <w:r>
        <w:t>Materiality is the complementary question: does a difference require further resolution? For a request needing any bear species, “brown bear” and “black bear” may be permitted alternatives. For a request identifying a brown bear specifically, that distinction becomes material.</w:t>
      </w:r>
    </w:p>
    <w:p>
      <w:r>
        <w:t>This is the abstract place of Chi: variation and nondeterminacy that remain available rather than being prematurely closed. The governing relation determines which possibilities may remain open.</w:t>
      </w:r>
    </w:p>
    <w:p>
      <w:pPr>
        <w:pStyle w:val="Heading2"/>
      </w:pPr>
      <w:r>
        <w:t>9. Direction and adequacy</w:t>
      </w:r>
    </w:p>
    <w:p>
      <w:r>
        <w:t>Governance can determine whether movement between two states is Better, Same, or Worse for the human purpose. The comparison may depend on numerical measures, ordered priorities, rules, relations, or mixed evidence. The space itself imposes no universal scoring scheme.</w:t>
      </w:r>
    </w:p>
    <w:p>
      <w:r>
        <w:t>Enough describes a sufficiently acceptable relation between an outcome, its purpose, and its boundaries. Stability describes continuity of governance-relative equivalence across transformations. An implementation may recognize stability through three unchanged comparisons, but the abstraction does not require three steps or any fixed execution sequence.</w:t>
      </w:r>
    </w:p>
    <w:p>
      <w:pPr>
        <w:pStyle w:val="Heading2"/>
      </w:pPr>
      <w:r>
        <w:t>10. Continuity, divergence, and preserved choice</w:t>
      </w:r>
    </w:p>
    <w:p>
      <w:r>
        <w:t>Alternative paths, partially resolved states, reversals, and retained contributions belong to the same resolution space. Divergence means that a path moves away from acceptable conditions according to the governing relation, rather than simply moving away from a predetermined numerical target.</w:t>
      </w:r>
    </w:p>
    <w:p>
      <w:r>
        <w:t>A solution may end through validated stability or sufficient acceptance. An attempt may also fail validation or stop because its budget is exhausted. These distinctions preserve the difference between what is acceptable, what is unresolved, and what merely stopped.</w:t>
      </w:r>
    </w:p>
    <w:p>
      <w:pPr>
        <w:pStyle w:val="Heading2"/>
      </w:pPr>
      <w:r>
        <w:t>11. Abstract governing balance</w:t>
      </w:r>
    </w:p>
    <w:p>
      <w:r>
        <w:t>Cohesion preserves relationships. Validity resolves required determinations. Spirit preserves available possibility. Their interaction expresses selective closure: close only those distinctions required by the governing purpose, while retaining other possibilities with their relationships and provenance.</w:t>
      </w:r>
    </w:p>
    <w:p>
      <w:pPr/>
      <w:r>
        <w:rPr>
          <w:b/>
        </w:rPr>
        <w:t>Abstract statement: Resolution is the governance-relative determination of sufficient coherence among possible states while preserving meaningful relationships, permitted variation, provenance, and human intent.</w:t>
      </w:r>
    </w:p>
    <w:p>
      <w:pPr>
        <w:pStyle w:val="Heading1"/>
      </w:pPr>
      <w:r>
        <w:t>Transition: From relationships to mechanisms</w:t>
      </w:r>
    </w:p>
    <w:p>
      <w:r>
        <w:t>The abstraction describes what relationships need to exist, independent of how a system runs. Part III presents one executable realization: governance packages, generators, evaluators, resolvers, state records, validation gates, and reference measurements. These mechanisms implement the relationships without defining their universal meaning.</w:t>
      </w:r>
    </w:p>
    <w:p>
      <w:pPr>
        <w:pStyle w:val="Heading1"/>
      </w:pPr>
      <w:r>
        <w:t>Part III. Concrete Architecture | How</w:t>
      </w:r>
    </w:p>
    <w:p>
      <w:r>
        <w:t>This part retains the detailed v0.3 engineering specification. Section numbering within the technical specification is preserved for continuity with earlier versions; the Part I and II headings use a separate narrative numbering system.</w:t>
      </w:r>
    </w:p>
    <w:p>
      <w:pPr>
        <w:pStyle w:val="Heading1"/>
        <w:keepNext/>
      </w:pPr>
      <w:r>
        <w:t>Technical overview (v0.3 specification)</w:t>
      </w:r>
    </w:p>
    <w:p>
      <w:r>
        <w:t>The Governance-Driven Resolution Lattice presents a model-agnostic architecture for adaptive generation, evaluation, and validation under injectable governance. The architecture separates generation behavior from fixed evaluation criteria, preserving human authority, transformation provenance, and permitted nondeterminacy. Resolution proceeds through governance-relative materiality assessment, multidimensional directional comparison, adaptive correction, and stability validation. Three consecutive materially unchanged transitions establish a valid transform, while configurable Enough Boundaries and resolution budgets govern termination.</w:t>
      </w:r>
    </w:p>
    <w:p>
      <w:r>
        <w:t>The architecture defines exchange contracts for evaluation, feedback, candidate state, transformations, and provenance. Governance packages may use numerical, relational, symbolic, or composite criteria without changing the core resolver. Reference implementations demonstrate content evaluation, software validation, and archetypal dual-state governance. Optional Collatz-relative trajectory measurements provide a comparison of progression and iteration efficiency rather than a required resolver component.</w:t>
      </w:r>
    </w:p>
    <w:p>
      <w:pPr>
        <w:pStyle w:val="Heading1"/>
        <w:keepNext/>
      </w:pPr>
      <w:r>
        <w:t>1. Introduction</w:t>
      </w:r>
    </w:p>
    <w:p>
      <w:r>
        <w:t>Generative systems produce successive transformations of information, context, instructions, and inferred relationships. A resolution process must determine whether these transformations improve, whether ambiguities matter, and whether corrections introduce additional problems.</w:t>
      </w:r>
    </w:p>
    <w:p>
      <w:r>
        <w:t>The architecture separates the mechanism of resolution from the criteria used to govern it. Its objectives are configurable governance, stable evaluation, adaptive generation, materiality-based ambiguity handling, bidirectional comparison, correction tolerance, three-gate stability, divergence termination, and inspectability.</w:t>
      </w:r>
    </w:p>
    <w:p>
      <w:pPr>
        <w:pStyle w:val="Heading1"/>
        <w:keepNext/>
      </w:pPr>
      <w:r>
        <w:t>2. Fundamental Architectural Separation</w:t>
      </w:r>
    </w:p>
    <w:p>
      <w:r>
        <w:t>Governance defines what constitutes an acceptable result. Generation produces candidate transformations using models, algorithms, or specialized resolvers. Resolution evaluates candidates, manages ambiguity, compares directions, and validates stability.</w:t>
      </w:r>
    </w:p>
    <w:p>
      <w:r>
        <w:t>The governance package supplies the evaluation standard; the resolution mechanism applies it; generation adapts to the resulting feedback.</w:t>
      </w:r>
    </w:p>
    <w:p>
      <w:pPr>
        <w:pStyle w:val="Heading2"/>
        <w:keepNext/>
      </w:pPr>
      <w:r>
        <w:t>2.0 The lattice as a resolution structure</w:t>
      </w:r>
    </w:p>
    <w:p>
      <w:r>
        <w:t>The Governance-Driven Resolution Lattice is a structured network of candidate states, contributions, transformations and governance-defined relationships. It retains alternative paths while the resolver follows a selected progression; the progression need not be a single irreversible linear chain.</w:t>
      </w:r>
    </w:p>
    <w:p>
      <w:r>
        <w:t>Candidate nodes represent proposed result states. Transformation connections record changes among nodes. Contribution relationships retain supporting information, assumptions and dependencies. Governance relationships supply materiality, equivalence, direction and acceptance determinations.</w:t>
      </w:r>
    </w:p>
    <w:p>
      <w:r>
        <w:t>The term lattice refers to this connected resolution structure. A formal mathematical lattice would additionally require meet and join operations; these may be implemented but are not mandatory. No particular database, graph engine or data model is required.</w:t>
      </w:r>
    </w:p>
    <w:p>
      <w:r>
        <w:t>Illustrative paths: R0 may connect to R1 (edit) and R2 (fresh regeneration); R1 may connect to R3 (correction), R2 to R4 (revision), and retained contributions from R3 and R4 may converge in R5. The resolver records the traversed path and preserves the provenance of alternatives.</w:t>
      </w:r>
    </w:p>
    <w:p>
      <w:pPr>
        <w:pStyle w:val="Heading2"/>
        <w:keepNext/>
      </w:pPr>
      <w:r>
        <w:t>2.1 Logical component responsibilities</w:t>
      </w:r>
    </w:p>
    <w:p>
      <w:pPr/>
      <w:r>
        <w:t>Generator: produces candidates and adapts prompts, context or strategy using feedback. Evaluator: applies the fixed governance package to candidates and relationships and reports measurements. Resolver: coordinates candidate generation, evaluation, material ambiguity handling, directional comparisons, reversal, stability counting and termination. An evaluator may be embedded in the resolver or invoked externally without changing these logical responsibilities.</w:t>
      </w:r>
    </w:p>
    <w:p>
      <w:pPr/>
      <w:r>
        <w:t>Human request H establishes purpose. Authorized human decisions may define alignment requirements, approve pivots, accept the Enough Boundary and renew budgets as allowed by G. Neither generator nor evaluator independently revises active governance.</w:t>
      </w:r>
    </w:p>
    <w:p>
      <w:r>
        <w:t>Architectural flow: Human request H + authorized governance G → Resolver ↔ Generator (candidate production and adaptation); Resolver ↔ Evaluator (governance measurement); Resolver → resolution history → VALID TRANSFORM / SUFFICIENT RESOLUTION / INVALID VALIDATION. The resolver orchestrates the other roles; the evaluator may be internal or external without changing their logical separation.</w:t>
      </w:r>
    </w:p>
    <w:p>
      <w:pPr>
        <w:pStyle w:val="Heading2"/>
        <w:keepNext/>
      </w:pPr>
      <w:r>
        <w:t>2.2 Candidate, contribution and transformation</w:t>
      </w:r>
    </w:p>
    <w:p>
      <w:pPr/>
      <w:r>
        <w:t>A candidate Rₙ is a proposed result at recorded progression index n. It may be freshly generated, regenerated with revised instructions, edited from an earlier candidate, or restored with corrections. The index records progression order and does not imply that Rₙ₊₁ must be an edit of Rₙ.</w:t>
      </w:r>
    </w:p>
    <w:p>
      <w:pPr/>
      <w:r>
        <w:t>A contribution is an information element, structure, relationship or possibility participating in a candidate. A transformation τₙ connects Rₙ and Rₙ₊₁ by editing, regeneration, correction, recombination or reversal. Record the transformation and its contributing states to preserve provenance and continuity.</w:t>
      </w:r>
    </w:p>
    <w:p>
      <w:pPr/>
      <w:r>
        <w:t>An accepted result is the candidate returned when an applicable acceptance outcome is met. Candidate continuity persists through H, G, prior candidates and feedback even across a fresh regeneration.</w:t>
      </w:r>
    </w:p>
    <w:p>
      <w:pPr>
        <w:pStyle w:val="Heading1"/>
        <w:keepNext/>
      </w:pPr>
      <w:r>
        <w:t>3. Injectable Governance Packages</w:t>
      </w:r>
    </w:p>
    <w:p>
      <w:r>
        <w:t>A governance package is a configurable collection of criteria introduced into the resolution process. It can be represented conceptually as G = (C, W, M, B), where C is criteria, W is weights, M is governing measures, and B is resolution and termination boundaries.</w:t>
      </w:r>
    </w:p>
    <w:p>
      <w:r>
        <w:t>A package may be a matrix, graph, hierarchy, or collection of rules. Criteria and weights may be changed when configuring or revising governance. Once a resolution cycle begins, its evaluation configuration remains fixed. The nine-by-nine matrix is one optional package, not a required structure.</w:t>
      </w:r>
    </w:p>
    <w:p>
      <w:pPr>
        <w:pStyle w:val="Heading2"/>
        <w:keepNext/>
      </w:pPr>
      <w:r>
        <w:t>3.0 Human request, alignment and authority</w:t>
      </w:r>
    </w:p>
    <w:p>
      <w:pPr/>
      <w:r>
        <w:t>Human request H supplies the objective, relevant instructions, priorities, constraints and context. The resolver retains H as the origin reference. Human alignment is evaluated as A_G(Rₙ,H), against H and its applicable context using criteria and acceptance rules supplied by G; it may be numerical, categorical, relational or predicate-based.</w:t>
      </w:r>
    </w:p>
    <w:p>
      <w:pPr/>
      <w:r>
        <w:t>An authorized human may select governance, define alignment requirements, approve human-directed pivots, establish permitted Enough acceptance, revise governance for a subsequent cycle, and renew resolution budgets. The authorizing person may be the requester or a person explicitly delegated that role. A pivot within H can redirect generation while G remains fixed; a change to the governing objective or acceptance criteria requires a new cycle.</w:t>
      </w:r>
    </w:p>
    <w:p>
      <w:pPr/>
      <w:r>
        <w:t>The reference Slop-to-Value package uses a separate 80% human-alignment gate. That threshold is specific to this package and is not a universal rule or necessarily derived from its nine-by-nine content ratings.</w:t>
      </w:r>
    </w:p>
    <w:p>
      <w:pPr>
        <w:pStyle w:val="Heading2"/>
        <w:keepNext/>
      </w:pPr>
      <w:r>
        <w:t>3.1 Governance-defined equivalence and permitted variation</w:t>
      </w:r>
    </w:p>
    <w:p>
      <w:pPr/>
      <w:r>
        <w:t>Governance G defines which candidate differences are material and which belong to permitted sets. For a request requiring an actual bear, G may permit {brown bear, black bear, polar bear}, excluding teddy bear. Under a species-specific request the same differences can become material. These are reference examples, not universal content rules.</w:t>
      </w:r>
    </w:p>
    <w:p>
      <w:pPr>
        <w:pStyle w:val="Heading2"/>
        <w:keepNext/>
      </w:pPr>
      <w:r>
        <w:t>3.2 Governance contract G = (C, W, M, B)</w:t>
      </w:r>
    </w:p>
    <w:p>
      <w:pPr/>
      <w:r>
        <w:t>C contains evaluation criteria; W contains weights, priorities and comparison rules; M contains governing measures, equivalence and materiality rules, and optional trajectory measurements; B contains acceptance, sufficiency, divergence and resource boundaries. These are logical responsibilities, not a required serialization format.</w:t>
      </w:r>
    </w:p>
    <w:p>
      <w:pPr/>
      <w:r>
        <w:t>Governance-supplied operations may include Evaluate, Compare, Equivalent, Material, Enough, Divergent and Project. The resolver invokes these operations without modifying their definitions during an active cycle.</w:t>
      </w:r>
    </w:p>
    <w:p>
      <w:pPr>
        <w:pStyle w:val="Heading2"/>
        <w:keepNext/>
      </w:pPr>
      <w:r>
        <w:t>3.3 Optional origin-relative projection</w:t>
      </w:r>
    </w:p>
    <w:p>
      <w:pPr/>
      <w:r>
        <w:t>A governance package may supply a projection Phi_G(R) = x. For Collatz comparison, x must be a positive integer. The initial projected value x0 = Phi_G(R0) establishes a fixed reference trajectory independent of subsequent adaptive resolution.</w:t>
      </w:r>
    </w:p>
    <w:p>
      <w:pPr/>
      <w:r>
        <w:t>Illustrative configuration (not a universal requirement): {"criteria":["validity","cohesion","spirit"],"comparison":{"method":"ordered_priority","equivalence":"governance_defined","materiality":"governance_defined"},"trajectory":{"enabled":true,"projection":"positive_integer","reference":"collatz","origin":"initial_candidate"},"boundaries":{"enough":"governance_defined","divergence":"governance_defined","maximum_iterations":200}}</w:t>
      </w:r>
    </w:p>
    <w:p>
      <w:pPr>
        <w:pStyle w:val="Heading2"/>
        <w:keepNext/>
      </w:pPr>
      <w:r>
        <w:t>3.4 Governance immutability</w:t>
      </w:r>
    </w:p>
    <w:p>
      <w:pPr/>
      <w:r>
        <w:t>Criteria, measures, comparison rules and boundaries remain fixed within a cycle. Prompts, correction strategies and candidates may adapt. A governance revision begins a subsequent cycle.</w:t>
      </w:r>
    </w:p>
    <w:p>
      <w:pPr>
        <w:pStyle w:val="Heading2"/>
        <w:keepNext/>
      </w:pPr>
      <w:r>
        <w:t>3.5 Enough Boundary and resolution-cycle budget</w:t>
      </w:r>
    </w:p>
    <w:p>
      <w:pPr/>
      <w:r>
        <w:t>The Enough Boundary combines sufficiency tests with allowable resource budgets. Its settings may include an acceptance threshold, permissible residual materiality, human approval, maximum iterations per cycle, compute consumption and maximum number of resolution cycles across an overall request. Budget exhaustion requires stopping or renewed human authorization; it does not by itself mean VALID TRANSFORM or SUFFICIENT RESOLUTION.</w:t>
      </w:r>
    </w:p>
    <w:p>
      <w:pPr/>
      <w:r>
        <w:t>Illustrative budget: B_Enough = (N_cycles, N_iterations, B_compute, M_acceptable, A_required). The cycle-count limit applies across successive cycles, including cycles that revise governance. Record counts and consumption against the overall request so creating a new cycle cannot silently reset the budget.</w:t>
      </w:r>
    </w:p>
    <w:p>
      <w:pPr>
        <w:pStyle w:val="Heading2"/>
        <w:keepNext/>
      </w:pPr>
      <w:r>
        <w:t>3.6 Cycle lifecycle and governance continuity</w:t>
      </w:r>
    </w:p>
    <w:p>
      <w:pPr/>
      <w:r>
        <w:t>A cycle begins when human request H is paired with a frozen governance package G. Generation, evaluation, comparison and corrective adaptation proceed without changing G. A cycle ends with one of three validation/acceptance outcomes (VALID TRANSFORM, SUFFICIENT RESOLUTION, INVALID VALIDATION), or with the fourth operational stop BUDGET EXHAUSTED when the authorized limits are reached before acceptance. Budget exhaustion is neither a successful resolution nor proof of invalid content. A subsequent cycle may retain G or explicitly revise it; INVALID VALIDATION does not require governance revision.</w:t>
      </w:r>
    </w:p>
    <w:p>
      <w:pPr/>
      <w:r>
        <w:t>The human may authorize another cycle or increase the available budget while preserving the origin, candidate history, trajectory and the reason the preceding cycle stopped.</w:t>
      </w:r>
    </w:p>
    <w:p>
      <w:pPr>
        <w:pStyle w:val="Heading1"/>
        <w:keepNext/>
      </w:pPr>
      <w:r>
        <w:t>4. Reference Implementation: Slop-to-Value Content Governance</w:t>
      </w:r>
    </w:p>
    <w:p>
      <w:r>
        <w:t>This example governance package evaluates generated content using nine classifications: Information, Relevance, Evidence, Novelty, Utility, Slop, Potential, Connectivity, and Direction. Each is evaluated across Value, Known, and Fluff, with at least three inspectable supporting legs per category: 9 × 3 × 3 = 81 minimum positions.</w:t>
      </w:r>
    </w:p>
    <w:p>
      <w:r>
        <w:t>The package expresses a particular set of content-evaluation preferences. Other packages can use entirely different dimensions and structures.</w:t>
      </w:r>
    </w:p>
    <w:p>
      <w:r>
        <w:t>Reference-package status. This Slop-to-Value matrix is one injectable governance configuration reflecting content-evaluation preferences; its 9 dimensions, categories and supporting legs are not required by the general resolver.</w:t>
      </w:r>
    </w:p>
    <w:p>
      <w:r>
        <w:t>Classification and scoring. Each dimension receives independent Value, Known, and Fluff category ratings from 1 to 10. These are inspectable ratings, not an exclusive sorting of each contribution into one category. Known is context-dependent and neutral: established information may provide essential continuity and evidence or may be redundant.</w:t>
      </w:r>
    </w:p>
    <w:p>
      <w:r>
        <w:t>Slop dimension. Value within the Slop dimension measures useful detection, reduction, or recovery of substance from noise; it does not reward the quantity of slop. Known identifies recognizable repetition patterns; Fluff identifies circular filler and unnecessary expansion.</w:t>
      </w:r>
    </w:p>
    <w:p>
      <w:r>
        <w:t>Supporting leg is the preferred name for each inspectable criterion previously called a supporting position. The nine dimensions, three categories per dimension, and at least three supporting legs per category establish 81 minimum supporting legs.</w:t>
      </w:r>
    </w:p>
    <w:p>
      <w:r>
        <w:t>The reference package’s 80% human-alignment threshold is a separate gate evaluated against request H and its alignment criteria. It is not computed from the nine content dimensions and is not a universal architectural threshold.</w:t>
      </w:r>
    </w:p>
    <w:p>
      <w:pPr/>
      <w:r>
        <w:t>The name nine-by-nine denotes nine dimensions, each with nine minimum supporting legs (three categories multiplied by three legs), for a minimum of 81 inspectable legs. More legs may be added by governance; the original reference matrix remains unchanged.</w:t>
      </w:r>
    </w:p>
    <w:p>
      <w:pPr>
        <w:pStyle w:val="Heading1"/>
        <w:keepNext/>
      </w:pPr>
      <w:r>
        <w:t>4.1 Nine-Dimensional Evaluation Matrix</w:t>
      </w:r>
    </w:p>
    <w:p>
      <w:r>
        <w:t>The following matrix belongs to the injectable Slop-to-Value governance package. It is an implementation of evaluation preferences, not a foundational component of the resolution architecture.</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rPr>
                <w:sz w:val="16"/>
              </w:rPr>
              <w:t>Dimension</w:t>
            </w:r>
          </w:p>
        </w:tc>
        <w:tc>
          <w:tcPr>
            <w:tcW w:type="dxa" w:w="2448"/>
          </w:tcPr>
          <w:p>
            <w:r>
              <w:rPr>
                <w:sz w:val="16"/>
              </w:rPr>
              <w:t>Value</w:t>
            </w:r>
          </w:p>
        </w:tc>
        <w:tc>
          <w:tcPr>
            <w:tcW w:type="dxa" w:w="2448"/>
          </w:tcPr>
          <w:p>
            <w:r>
              <w:rPr>
                <w:sz w:val="16"/>
              </w:rPr>
              <w:t>Known</w:t>
            </w:r>
          </w:p>
        </w:tc>
        <w:tc>
          <w:tcPr>
            <w:tcW w:type="dxa" w:w="2448"/>
          </w:tcPr>
          <w:p>
            <w:r>
              <w:rPr>
                <w:sz w:val="16"/>
              </w:rPr>
              <w:t>Fluff</w:t>
            </w:r>
          </w:p>
        </w:tc>
      </w:tr>
      <w:tr>
        <w:tc>
          <w:tcPr>
            <w:tcW w:type="dxa" w:w="2448"/>
          </w:tcPr>
          <w:p>
            <w:r>
              <w:rPr>
                <w:sz w:val="16"/>
              </w:rPr>
              <w:t>Information</w:t>
            </w:r>
          </w:p>
        </w:tc>
        <w:tc>
          <w:tcPr>
            <w:tcW w:type="dxa" w:w="2448"/>
          </w:tcPr>
          <w:p>
            <w:r>
              <w:rPr>
                <w:sz w:val="16"/>
              </w:rPr>
              <w:t>Distinct facts; specific observations; precise claims</w:t>
            </w:r>
          </w:p>
        </w:tc>
        <w:tc>
          <w:tcPr>
            <w:tcW w:type="dxa" w:w="2448"/>
          </w:tcPr>
          <w:p>
            <w:r>
              <w:rPr>
                <w:sz w:val="16"/>
              </w:rPr>
              <w:t>Established facts; repeated claims; shared background</w:t>
            </w:r>
          </w:p>
        </w:tc>
        <w:tc>
          <w:tcPr>
            <w:tcW w:type="dxa" w:w="2448"/>
          </w:tcPr>
          <w:p>
            <w:r>
              <w:rPr>
                <w:sz w:val="16"/>
              </w:rPr>
              <w:t>Empty assertions; unnecessary repetition; meaningless detail</w:t>
            </w:r>
          </w:p>
        </w:tc>
      </w:tr>
      <w:tr>
        <w:tc>
          <w:tcPr>
            <w:tcW w:type="dxa" w:w="2448"/>
          </w:tcPr>
          <w:p>
            <w:r>
              <w:rPr>
                <w:sz w:val="16"/>
              </w:rPr>
              <w:t>Relevance</w:t>
            </w:r>
          </w:p>
        </w:tc>
        <w:tc>
          <w:tcPr>
            <w:tcW w:type="dxa" w:w="2448"/>
          </w:tcPr>
          <w:p>
            <w:r>
              <w:rPr>
                <w:sz w:val="16"/>
              </w:rPr>
              <w:t>Subject alignment; human significance; context contribution</w:t>
            </w:r>
          </w:p>
        </w:tc>
        <w:tc>
          <w:tcPr>
            <w:tcW w:type="dxa" w:w="2448"/>
          </w:tcPr>
          <w:p>
            <w:r>
              <w:rPr>
                <w:sz w:val="16"/>
              </w:rPr>
              <w:t>Familiar context; expected associations; previously covered needs</w:t>
            </w:r>
          </w:p>
        </w:tc>
        <w:tc>
          <w:tcPr>
            <w:tcW w:type="dxa" w:w="2448"/>
          </w:tcPr>
          <w:p>
            <w:r>
              <w:rPr>
                <w:sz w:val="16"/>
              </w:rPr>
              <w:t>Off-topic material; unnecessary tangents; irrelevant expansion</w:t>
            </w:r>
          </w:p>
        </w:tc>
      </w:tr>
      <w:tr>
        <w:tc>
          <w:tcPr>
            <w:tcW w:type="dxa" w:w="2448"/>
          </w:tcPr>
          <w:p>
            <w:r>
              <w:rPr>
                <w:sz w:val="16"/>
              </w:rPr>
              <w:t>Evidence</w:t>
            </w:r>
          </w:p>
        </w:tc>
        <w:tc>
          <w:tcPr>
            <w:tcW w:type="dxa" w:w="2448"/>
          </w:tcPr>
          <w:p>
            <w:r>
              <w:rPr>
                <w:sz w:val="16"/>
              </w:rPr>
              <w:t>Traceable sources; verifiable observations; independent support</w:t>
            </w:r>
          </w:p>
        </w:tc>
        <w:tc>
          <w:tcPr>
            <w:tcW w:type="dxa" w:w="2448"/>
          </w:tcPr>
          <w:p>
            <w:r>
              <w:rPr>
                <w:sz w:val="16"/>
              </w:rPr>
              <w:t>Established references; repeated support; accepted background</w:t>
            </w:r>
          </w:p>
        </w:tc>
        <w:tc>
          <w:tcPr>
            <w:tcW w:type="dxa" w:w="2448"/>
          </w:tcPr>
          <w:p>
            <w:r>
              <w:rPr>
                <w:sz w:val="16"/>
              </w:rPr>
              <w:t>Fabricated evidence; misrepresented sources; unsupported certainty</w:t>
            </w:r>
          </w:p>
        </w:tc>
      </w:tr>
      <w:tr>
        <w:tc>
          <w:tcPr>
            <w:tcW w:type="dxa" w:w="2448"/>
          </w:tcPr>
          <w:p>
            <w:r>
              <w:rPr>
                <w:sz w:val="16"/>
              </w:rPr>
              <w:t>Novelty</w:t>
            </w:r>
          </w:p>
        </w:tc>
        <w:tc>
          <w:tcPr>
            <w:tcW w:type="dxa" w:w="2448"/>
          </w:tcPr>
          <w:p>
            <w:r>
              <w:rPr>
                <w:sz w:val="16"/>
              </w:rPr>
              <w:t>New findings; new relationships; original synthesis</w:t>
            </w:r>
          </w:p>
        </w:tc>
        <w:tc>
          <w:tcPr>
            <w:tcW w:type="dxa" w:w="2448"/>
          </w:tcPr>
          <w:p>
            <w:r>
              <w:rPr>
                <w:sz w:val="16"/>
              </w:rPr>
              <w:t>Established concepts; familiar interpretations; repeated discoveries</w:t>
            </w:r>
          </w:p>
        </w:tc>
        <w:tc>
          <w:tcPr>
            <w:tcW w:type="dxa" w:w="2448"/>
          </w:tcPr>
          <w:p>
            <w:r>
              <w:rPr>
                <w:sz w:val="16"/>
              </w:rPr>
              <w:t>Artificial novelty; repackaged repetition; empty differentiation</w:t>
            </w:r>
          </w:p>
        </w:tc>
      </w:tr>
      <w:tr>
        <w:tc>
          <w:tcPr>
            <w:tcW w:type="dxa" w:w="2448"/>
          </w:tcPr>
          <w:p>
            <w:r>
              <w:rPr>
                <w:sz w:val="16"/>
              </w:rPr>
              <w:t>Utility</w:t>
            </w:r>
          </w:p>
        </w:tc>
        <w:tc>
          <w:tcPr>
            <w:tcW w:type="dxa" w:w="2448"/>
          </w:tcPr>
          <w:p>
            <w:r>
              <w:rPr>
                <w:sz w:val="16"/>
              </w:rPr>
              <w:t>Actionable information; decision support; reusable output</w:t>
            </w:r>
          </w:p>
        </w:tc>
        <w:tc>
          <w:tcPr>
            <w:tcW w:type="dxa" w:w="2448"/>
          </w:tcPr>
          <w:p>
            <w:r>
              <w:rPr>
                <w:sz w:val="16"/>
              </w:rPr>
              <w:t>Existing solutions; routine guidance; familiar procedures</w:t>
            </w:r>
          </w:p>
        </w:tc>
        <w:tc>
          <w:tcPr>
            <w:tcW w:type="dxa" w:w="2448"/>
          </w:tcPr>
          <w:p>
            <w:r>
              <w:rPr>
                <w:sz w:val="16"/>
              </w:rPr>
              <w:t>Unusable advice; unnecessary complexity; nonfunctional output</w:t>
            </w:r>
          </w:p>
        </w:tc>
      </w:tr>
      <w:tr>
        <w:tc>
          <w:tcPr>
            <w:tcW w:type="dxa" w:w="2448"/>
          </w:tcPr>
          <w:p>
            <w:r>
              <w:rPr>
                <w:sz w:val="16"/>
              </w:rPr>
              <w:t>Slop</w:t>
            </w:r>
          </w:p>
        </w:tc>
        <w:tc>
          <w:tcPr>
            <w:tcW w:type="dxa" w:w="2448"/>
          </w:tcPr>
          <w:p>
            <w:r>
              <w:rPr>
                <w:sz w:val="16"/>
              </w:rPr>
              <w:t>Detectable noise; recoverable substance; reduction opportunity</w:t>
            </w:r>
          </w:p>
        </w:tc>
        <w:tc>
          <w:tcPr>
            <w:tcW w:type="dxa" w:w="2448"/>
          </w:tcPr>
          <w:p>
            <w:r>
              <w:rPr>
                <w:sz w:val="16"/>
              </w:rPr>
              <w:t>Recognized patterns; known repetition; established filters</w:t>
            </w:r>
          </w:p>
        </w:tc>
        <w:tc>
          <w:tcPr>
            <w:tcW w:type="dxa" w:w="2448"/>
          </w:tcPr>
          <w:p>
            <w:r>
              <w:rPr>
                <w:sz w:val="16"/>
              </w:rPr>
              <w:t>Pure filler; circular wording; decorative verbosity</w:t>
            </w:r>
          </w:p>
        </w:tc>
      </w:tr>
      <w:tr>
        <w:tc>
          <w:tcPr>
            <w:tcW w:type="dxa" w:w="2448"/>
          </w:tcPr>
          <w:p>
            <w:r>
              <w:rPr>
                <w:sz w:val="16"/>
              </w:rPr>
              <w:t>Potential</w:t>
            </w:r>
          </w:p>
        </w:tc>
        <w:tc>
          <w:tcPr>
            <w:tcW w:type="dxa" w:w="2448"/>
          </w:tcPr>
          <w:p>
            <w:r>
              <w:rPr>
                <w:sz w:val="16"/>
              </w:rPr>
              <w:t>Unexplored implications; emerging connections; future applications</w:t>
            </w:r>
          </w:p>
        </w:tc>
        <w:tc>
          <w:tcPr>
            <w:tcW w:type="dxa" w:w="2448"/>
          </w:tcPr>
          <w:p>
            <w:r>
              <w:rPr>
                <w:sz w:val="16"/>
              </w:rPr>
              <w:t>Known opportunities; established pathways; previously identified uses</w:t>
            </w:r>
          </w:p>
        </w:tc>
        <w:tc>
          <w:tcPr>
            <w:tcW w:type="dxa" w:w="2448"/>
          </w:tcPr>
          <w:p>
            <w:r>
              <w:rPr>
                <w:sz w:val="16"/>
              </w:rPr>
              <w:t>Baseless speculation; unproductive expansion; dead-end repetition</w:t>
            </w:r>
          </w:p>
        </w:tc>
      </w:tr>
      <w:tr>
        <w:tc>
          <w:tcPr>
            <w:tcW w:type="dxa" w:w="2448"/>
          </w:tcPr>
          <w:p>
            <w:r>
              <w:rPr>
                <w:sz w:val="16"/>
              </w:rPr>
              <w:t>Connectivity</w:t>
            </w:r>
          </w:p>
        </w:tc>
        <w:tc>
          <w:tcPr>
            <w:tcW w:type="dxa" w:w="2448"/>
          </w:tcPr>
          <w:p>
            <w:r>
              <w:rPr>
                <w:sz w:val="16"/>
              </w:rPr>
              <w:t>Meaningful relationships; cross-domain connections; provenance links</w:t>
            </w:r>
          </w:p>
        </w:tc>
        <w:tc>
          <w:tcPr>
            <w:tcW w:type="dxa" w:w="2448"/>
          </w:tcPr>
          <w:p>
            <w:r>
              <w:rPr>
                <w:sz w:val="16"/>
              </w:rPr>
              <w:t>Known associations; established dependencies; repeated connections</w:t>
            </w:r>
          </w:p>
        </w:tc>
        <w:tc>
          <w:tcPr>
            <w:tcW w:type="dxa" w:w="2448"/>
          </w:tcPr>
          <w:p>
            <w:r>
              <w:rPr>
                <w:sz w:val="16"/>
              </w:rPr>
              <w:t>False relationships; irrelevant links; disconnected references</w:t>
            </w:r>
          </w:p>
        </w:tc>
      </w:tr>
      <w:tr>
        <w:tc>
          <w:tcPr>
            <w:tcW w:type="dxa" w:w="2448"/>
          </w:tcPr>
          <w:p>
            <w:r>
              <w:rPr>
                <w:sz w:val="16"/>
              </w:rPr>
              <w:t>Direction</w:t>
            </w:r>
          </w:p>
        </w:tc>
        <w:tc>
          <w:tcPr>
            <w:tcW w:type="dxa" w:w="2448"/>
          </w:tcPr>
          <w:p>
            <w:r>
              <w:rPr>
                <w:sz w:val="16"/>
              </w:rPr>
              <w:t>Productive continuation; human-directed pivot; expected information gain</w:t>
            </w:r>
          </w:p>
        </w:tc>
        <w:tc>
          <w:tcPr>
            <w:tcW w:type="dxa" w:w="2448"/>
          </w:tcPr>
          <w:p>
            <w:r>
              <w:rPr>
                <w:sz w:val="16"/>
              </w:rPr>
              <w:t>Known next steps; established priorities; repeated directions</w:t>
            </w:r>
          </w:p>
        </w:tc>
        <w:tc>
          <w:tcPr>
            <w:tcW w:type="dxa" w:w="2448"/>
          </w:tcPr>
          <w:p>
            <w:r>
              <w:rPr>
                <w:sz w:val="16"/>
              </w:rPr>
              <w:t>Aimless continuation; circular exploration; unrequested generation</w:t>
            </w:r>
          </w:p>
        </w:tc>
      </w:tr>
    </w:tbl>
    <w:p>
      <w:r>
        <w:t>4.2 Ratings and weights. Each Value, Known, and Fluff category may receive an independent 1–10 rating. Supporting legs make ratings inspectable. Weights may be applied at classification, category, or supporting-leg level.</w:t>
      </w:r>
    </w:p>
    <w:p>
      <w:r>
        <w:t>4.3 Human alignment. This example package uses a priority alignment gate of at least 80%. A candidate below that threshold is returned for regeneration. The threshold is package-specific, not universal.</w:t>
      </w:r>
    </w:p>
    <w:p>
      <w:pPr>
        <w:pStyle w:val="Heading1"/>
        <w:keepNext/>
      </w:pPr>
      <w:r>
        <w:t>5. Governing Measures: Cohesion, Validity, and Spirit</w:t>
      </w:r>
    </w:p>
    <w:p>
      <w:r>
        <w:t>A governance package may use Cohesion, Validity, and Spirit as complementary measures. Cohesion desires low nondeterminacy to preserve connected relationships. Validity targets χ = 0 in the accepted resolution, while allowing mistakes and corrections during the process. Spirit desires high nondeterminacy to preserve creative freedom, expression, and possibility.</w:t>
      </w:r>
    </w:p>
    <w:p>
      <w:r>
        <w:t>Their relative weights and application depend on the injected governance package.</w:t>
      </w:r>
    </w:p>
    <w:p>
      <w:pPr>
        <w:pStyle w:val="Heading2"/>
        <w:keepNext/>
      </w:pPr>
      <w:r>
        <w:t>5.1 Interaction of Cohesion, Validity and Spirit</w:t>
      </w:r>
    </w:p>
    <w:p>
      <w:pPr/>
      <w:r>
        <w:t>Cohesion favors connectedness and relational consistency, typically with low nondeterminacy where variance would break a required connection. Validity seeks χ = 0 for conditions that must be validated, while permitting mistakes and correction before acceptance. Spirit preserves higher χ where openness, creative freedom and alternatives are productive. Validity and Spirit can pull the same variable in opposite directions; G settles their applicability and priority through weights, ordering, constraints or relational rules.</w:t>
      </w:r>
    </w:p>
    <w:p>
      <w:pPr/>
      <w:r>
        <w:t>For example, governance may require one exact numerical answer while permitting several accurate explanations. Validity closes unresolved variation in the number while Spirit preserves presentation alternatives; Cohesion ensures each explanation remains connected to the answer.</w:t>
      </w:r>
    </w:p>
    <w:p>
      <w:pPr>
        <w:pStyle w:val="Heading2"/>
        <w:keepNext/>
      </w:pPr>
      <w:r>
        <w:t>5.2 Mapping governing measures to the contribution tuple</w:t>
      </w:r>
    </w:p>
    <w:p>
      <w:pPr/>
      <w:r>
        <w:t>Where a package uses T(t) = (ϟ, ϛ, χ, Kai), Koppa indicates support for intent, Stigma indicates observed or felt contribution, Chi indicates available variation, and Kai records assumptions introduced for unseen contributions. Cohesion, Validity and Spirit may evaluate these same measurements under different priorities. The tuple is an optional implementation, not a universal core requirement.</w:t>
      </w:r>
    </w:p>
    <w:p>
      <w:pPr>
        <w:pStyle w:val="Heading1"/>
        <w:keepNext/>
      </w:pPr>
      <w:r>
        <w:t>6. Transform Measurements</w:t>
      </w:r>
    </w:p>
    <w:p>
      <w:r>
        <w:t>A package may represent contributions as T(t) = (ϟ, ϛ, χ, Kai). Koppa (ϟ) measures support for intent. Stigma (ϛ) measures observed or felt contribution. Chi (χ) measures allowed variance and nondeterminacy. Kai measures assumptions introduced to account for unseen contributions.</w:t>
      </w:r>
    </w:p>
    <w:p>
      <w:r>
        <w:t>Chi and Kai are distinct. An open possibility need not imply an assumption; an assumption need not represent productive freedom. Other governance packages may use different measurements.</w:t>
      </w:r>
    </w:p>
    <w:p>
      <w:pPr>
        <w:pStyle w:val="Heading2"/>
        <w:keepNext/>
      </w:pPr>
      <w:r>
        <w:t>6.1 Measurement tuple terminology</w:t>
      </w:r>
    </w:p>
    <w:p>
      <w:r>
        <w:t>For an identifiable contribution t, the optional measurement tuple is T(t) = (ϟ(t), ϛ(t), χ(t), Kai(t)). The symbol t identifies the contribution being evaluated; the components remain separately inspectable rather than being reduced to one universal score.</w:t>
      </w:r>
    </w:p>
    <w:p>
      <w:r>
        <w:t>Koppa (ϟ) measures the contribution’s support for the intended outcome. Stigma (ϛ) measures its observed or felt effect in the evaluated result. For example, a security warning can support the user’s objective (Koppa) while changing the explanation’s clarity or emphasis (Stigma).</w:t>
      </w:r>
    </w:p>
    <w:p>
      <w:r>
        <w:t>Chi (χ) tracks retained variance and nondeterminacy. Kai tracks assumptions inserted to account for unseen contributions: causes, relationships or sources not directly inspectable in the current resolution context. Kai is distinct from Chi; reducing an unsupported assumption need not eliminate a permitted alternative.</w:t>
      </w:r>
    </w:p>
    <w:p>
      <w:r>
        <w:t>The tuple uses symbols for Koppa, Stigma and Chi and retains Kai by name. A governance implementation may encode the four fields differently while preserving their distinct meanings.</w:t>
      </w:r>
    </w:p>
    <w:p>
      <w:pPr>
        <w:pStyle w:val="Heading1"/>
        <w:keepNext/>
      </w:pPr>
      <w:r>
        <w:t>7. Materiality-Based Ambiguity Resolution</w:t>
      </w:r>
    </w:p>
    <w:p>
      <w:r>
        <w:t>The resolver asks whether an ambiguity matters to the governed outcome. Material ambiguity is examined; immaterial ambiguity may be retained or set aside. Materiality is supplied by governance, not imposed universally.</w:t>
      </w:r>
    </w:p>
    <w:p>
      <w:r>
        <w:t>Where Chi is evaluated, the resolver may temporarily withhold a contribution t and re-evaluate the affected candidate under the same frozen G. The removal test asks whether the required governing relationships and acceptance conditions remain satisfied without t. “Holds” means all relevant conditions remain satisfied and no new material difference arises; removal may be retained. “Fails” means at least one required condition breaks or a material difference appears; restore t or correct its dependency. “Partially holds” means a separable subset of t or its effects is necessary to preserve the required conditions while another subset is dispensable. Retain the minimum necessary portion and re-evaluate it under G. If a contribution cannot be meaningfully partitioned, partial retention is unavailable and the resolver must restore, replace, or continue examining it. The test is a governance-relative dependency probe, not an automatic instruction to suppress all Chi.</w:t>
      </w:r>
    </w:p>
    <w:p>
      <w:pPr/>
      <w:r>
        <w:t>Removal-test trace (illustrative): an explanation includes a required authentication check, a redundant restatement, and an optional analogy. Removing the whole contribution fails because the required check disappears; retaining the check while omitting the rest partially holds, provided the resulting explanation remains materially valid and cohesive under G.</w:t>
      </w:r>
    </w:p>
    <w:p>
      <w:pPr>
        <w:pStyle w:val="Heading2"/>
        <w:keepNext/>
      </w:pPr>
      <w:r>
        <w:t>7.1 Materiality predicate</w:t>
      </w:r>
    </w:p>
    <w:p>
      <w:pPr/>
      <w:r>
        <w:t>For each criterion cᵢ, governance may supply Mᵢ(Rₐ,Rᵦ,G) ∈ {0,1}; 0 indicates immaterial difference and 1 indicates material difference. A package may implement Mᵢ with thresholds, permitted sets, categorical rules, or relational conditions.</w:t>
      </w:r>
    </w:p>
    <w:p>
      <w:pPr>
        <w:pStyle w:val="Heading2"/>
        <w:keepNext/>
      </w:pPr>
      <w:r>
        <w:t>7.2 Chi and equivalence</w:t>
      </w:r>
    </w:p>
    <w:p>
      <w:pPr/>
      <w:r>
        <w:t>Chi (χ) denotes available nondeterminacy. Governance can leave a permitted possibility set open rather than requiring one particular member. Define E_G(Rₐ,Rᵦ)=1 if every difference is equivalent or immaterial under G; otherwise E_G=0. Identity is sufficient but not necessary for equivalence.</w:t>
      </w:r>
    </w:p>
    <w:p>
      <w:pPr/>
      <w:r>
        <w:t>For example, brown bear and black bear may be equivalent when G permits either species as an acceptable bear: Rₐ ≡G Rᵦ. When G specifically requires a brown bear, the difference is material and Rₐ ≢G Rᵦ. Equivalence is relative to the active governance rather than to lexical identity.</w:t>
      </w:r>
    </w:p>
    <w:p>
      <w:pPr>
        <w:pStyle w:val="Heading1"/>
        <w:keepNext/>
      </w:pPr>
      <w:r>
        <w:t>8. Adaptive Generation and Fixed Evaluation</w:t>
      </w:r>
    </w:p>
    <w:p>
      <w:r>
        <w:t>Let Rₙ = Generate(Pₙ), and Eₙ = Evaluate(Rₙ, G). Feedback can modify the next prompt: Pₙ₊₁ = Adapt(Pₙ, Eₙ). During the active resolution cycle, Gₙ₊₁ = Gₙ.</w:t>
      </w:r>
    </w:p>
    <w:p>
      <w:r>
        <w:t>Generation may change prompt wording, context, strategy, exploration direction, and treatment of assumptions. Evaluation criteria do not change within that cycle.</w:t>
      </w:r>
    </w:p>
    <w:p>
      <w:pPr>
        <w:pStyle w:val="Heading2"/>
        <w:keepNext/>
      </w:pPr>
      <w:r>
        <w:t>8.1 Feedback operations are distinct</w:t>
      </w:r>
    </w:p>
    <w:p>
      <w:pPr/>
      <w:r>
        <w:t>Directional comparison labels a transition Better, Same or Worse. Selection identifies contributions to preserve, suppress, correct or explore. Adaptation modifies the subsequent generator prompt, context or strategy based on selection; it does not modify governance.</w:t>
      </w:r>
    </w:p>
    <w:p>
      <w:pPr>
        <w:pStyle w:val="Heading1"/>
        <w:keepNext/>
      </w:pPr>
      <w:r>
        <w:t>9. Forward and Backward Resolution</w:t>
      </w:r>
    </w:p>
    <w:p>
      <w:r>
        <w:t>Successive results are compared as Better, Same, or Worse under the injected governance package. Forward evaluation examines the effect of a transformation; backward evaluation reexamines its relationships and dependencies.</w:t>
      </w:r>
    </w:p>
    <w:p>
      <w:r>
        <w:t>A conceptual comparison is D_G(Rₙ, Rₙ₊₁) ∈ {Better, Same, Worse}. This need not reduce all criteria to one numerical score. Better permits continuation; Same counts toward stability; Worse triggers reversal and reevaluation.</w:t>
      </w:r>
    </w:p>
    <w:p>
      <w:pPr>
        <w:pStyle w:val="Heading2"/>
        <w:keepNext/>
      </w:pPr>
      <w:r>
        <w:t>9.1 Comparison baseline and mixed outcomes</w:t>
      </w:r>
    </w:p>
    <w:p>
      <w:pPr/>
      <w:r>
        <w:t>By default, compare consecutive candidates D_G(Rₙ,Rₙ₊₁). The resolver may retain a separate best-accepted candidate for recovery or reversal. Better denotes material improvement; Same denotes governance-relative substitutability; Worse denotes material deterioration.</w:t>
      </w:r>
    </w:p>
    <w:p>
      <w:pPr/>
      <w:r>
        <w:t>Mixed improvement and deterioration across criteria is decided by a governance-supplied comparison rule. Valid implementations include weights, criterion priorities, veto constraints, and relational comparisons. No one numeric formula is required by the architecture.</w:t>
      </w:r>
    </w:p>
    <w:p>
      <w:pPr>
        <w:pStyle w:val="Heading2"/>
        <w:keepNext/>
      </w:pPr>
      <w:r>
        <w:t>9.2 Optional weighted comparison</w:t>
      </w:r>
    </w:p>
    <w:p>
      <w:pPr/>
      <w:r>
        <w:t>A package may use Δ_G = Σᵢ wᵢ(sᵢ(Rᵦ) − sᵢ(Rₐ)), with scores oriented so higher is better. Threshold ε_G may classify positive, neutral, or negative changes. A zero weighted sum does not automatically mean Same: equivalence and materiality must also pass the governance predicate.</w:t>
      </w:r>
    </w:p>
    <w:p>
      <w:pPr>
        <w:pStyle w:val="Heading2"/>
        <w:keepNext/>
      </w:pPr>
      <w:r>
        <w:t>9.3 Forward and backward examination</w:t>
      </w:r>
    </w:p>
    <w:p>
      <w:pPr/>
      <w:r>
        <w:t>Forward resolution evaluates the change from Rn to Rn+1: F_G(Rn,Rn+1) = D_G(Rn,Rn+1), yielding Better, Same or Worse. Backward resolution examines Rn+1 against Rn, tracing assumptions, dependencies and contributions that support the transformation. It is a dependency examination, not merely a reversed score subtraction.</w:t>
      </w:r>
    </w:p>
    <w:p>
      <w:pPr>
        <w:pStyle w:val="Heading2"/>
        <w:keepNext/>
      </w:pPr>
      <w:r>
        <w:t>9.4 Three comparison references</w:t>
      </w:r>
    </w:p>
    <w:p>
      <w:pPr/>
      <w:r>
        <w:t>The resolver retains the previous candidate Rn for local comparison, the last accepted Better candidate Rb for recovery, and the initial candidate R0 as the fixed origin for progression measurements.</w:t>
      </w:r>
    </w:p>
    <w:p>
      <w:pPr>
        <w:pStyle w:val="Heading2"/>
        <w:keepNext/>
      </w:pPr>
      <w:r>
        <w:t>9.5 Reversal and origin-relative progression</w:t>
      </w:r>
    </w:p>
    <w:p>
      <w:pPr/>
      <w:r>
        <w:t>A Worse result may cause reversal to an earlier acceptable candidate or state, preserving useful contributions where governance permits. Subsequent generation adapts without changing evaluation rules. An optional projection xn = Phi_G(Rn) permits comparison with a reference sequence anchored at x0 = Phi_G(R0).</w:t>
      </w:r>
    </w:p>
    <w:p>
      <w:pPr>
        <w:pStyle w:val="Heading1"/>
        <w:keepNext/>
      </w:pPr>
      <w:r>
        <w:t>10. Three-Gate Transform Validation</w:t>
      </w:r>
    </w:p>
    <w:p>
      <w:r>
        <w:t>A transformation is accepted when it passes three consecutive validation gates without material change: Rₙ ≡G Rₙ₊₁ ≡G Rₙ₊₂ ≡G Rₙ₊₃. The equivalence symbol denotes no material change under the active governance.</w:t>
      </w:r>
    </w:p>
    <w:p>
      <w:r>
        <w:t>A material change resets the stability count. This establishes operational stability under configured criteria, not universal mathematical correctness.</w:t>
      </w:r>
    </w:p>
    <w:p>
      <w:pPr>
        <w:pStyle w:val="Heading2"/>
        <w:keepNext/>
      </w:pPr>
      <w:r>
        <w:t>10.1 Three distinct transitions</w:t>
      </w:r>
    </w:p>
    <w:p>
      <w:pPr/>
      <w:r>
        <w:t>Four candidate states establish three comparisons: Rₙ ≡G Rₙ₊₁ ≡G Rₙ₊₂ ≡G Rₙ₊₃. Each adjacent pair is checked with E_G, using unchanged governance. Each passing comparison increments the stability counter; any material change resets it to zero, even if the new candidate is Better.</w:t>
      </w:r>
    </w:p>
    <w:p>
      <w:pPr>
        <w:pStyle w:val="Heading2"/>
        <w:keepNext/>
      </w:pPr>
      <w:r>
        <w:t>10.2 Gate separation</w:t>
      </w:r>
    </w:p>
    <w:p>
      <w:pPr/>
      <w:r>
        <w:t>Human alignment gates check fit to H; governance gates check package requirements; stability gates compare successive eligible candidates. A failed prerequisite gate does not increment stability. Stability reaches VALID TRANSFORM only after three consecutive eligible unchanged comparisons.</w:t>
      </w:r>
    </w:p>
    <w:p>
      <w:pPr>
        <w:pStyle w:val="Heading2"/>
        <w:keepNext/>
      </w:pPr>
      <w:r>
        <w:t>10.3 Reference validation trace</w:t>
      </w:r>
    </w:p>
    <w:p>
      <w:pPr/>
      <w:r>
        <w:t>R1: brown bear, eligible initial candidate, stability 0. R2: black bear, permitted variation, stability 1. R3: polar bear, permitted variation, stability 2. R4: brown bear, permitted variation, stability 3 → VALID TRANSFORM. This trace applies only where G permits all three species for the requested purpose.</w:t>
      </w:r>
    </w:p>
    <w:p>
      <w:pPr>
        <w:pStyle w:val="Heading2"/>
        <w:keepNext/>
      </w:pPr>
      <w:r>
        <w:t>10.4 Distinct exits</w:t>
      </w:r>
    </w:p>
    <w:p>
      <w:pPr/>
      <w:r>
        <w:t>The architecture exposes three validation/acceptance outcomes and one distinct operational stop. VALID TRANSFORM records three consecutive eligible, materially unchanged comparisons. SUFFICIENT RESOLUTION records satisfaction of the Enough Boundary’s sufficiency requirement. INVALID VALIDATION records a failed validation attempt, including governed outward divergence, without necessarily declaring the content invalid. BUDGET EXHAUSTED records an authorized cycle, iteration or compute limit reached before acceptance. It returns the last/best available candidate with its current validation status and the exhausted resource; it does not masquerade as one of the three resolution outcomes.</w:t>
      </w:r>
    </w:p>
    <w:p>
      <w:pPr>
        <w:pStyle w:val="Heading2"/>
        <w:keepNext/>
      </w:pPr>
      <w:r>
        <w:t>10.5 Enough Boundary outcomes and budget exhaustion</w:t>
      </w:r>
    </w:p>
    <w:p>
      <w:pPr/>
      <w:r>
        <w:t>VALID TRANSFORM demonstrates stability through three consecutive eligible, materially unchanged transitions. SUFFICIENT RESOLUTION establishes governance-defined sufficiency or authorized human acceptance. INVALID VALIDATION indicates a failed validation attempt, including defined divergence. BUDGET EXHAUSTED is the fourth terminal status for work stopped by resource or cycle limits without an acceptance determination. A budget can also limit a cycle that has already reached an accepted outcome; the recorded outcome remains the accepted one. These four terminal statuses are mutually distinct for reporting, though an implementation may record secondary reasons and intermediate events.</w:t>
      </w:r>
    </w:p>
    <w:p>
      <w:pPr>
        <w:pStyle w:val="Heading1"/>
        <w:keepNext/>
      </w:pPr>
      <w:r>
        <w:t>11. Divergence and Invalid Validation</w:t>
      </w:r>
    </w:p>
    <w:p>
      <w:r>
        <w:t>When successive evaluation begins spiraling outward, expanding material ambiguity or degrading the governed outcome, the resolver breaks the validation process and records INVALID VALIDATION.</w:t>
      </w:r>
    </w:p>
    <w:p>
      <w:r>
        <w:t>Invalid Validation means the validation attempt failed to establish an acceptable transform; it does not automatically invalidate the underlying content. Records may retain criteria, weights, comparison history, assumptions, prompt revisions, and the divergence point.</w:t>
      </w:r>
    </w:p>
    <w:p>
      <w:pPr>
        <w:pStyle w:val="Heading2"/>
        <w:keepNext/>
      </w:pPr>
      <w:r>
        <w:t>11.1 Divergence under governance</w:t>
      </w:r>
    </w:p>
    <w:p>
      <w:pPr/>
      <w:r>
        <w:t>Divergence occurs when successive transformations move outward from acceptance conditions, such as through increasing material ambiguities, unsupported assumptions, unacceptable variance, repeated deterioration or unsuccessful reversals. A single Worse result or temporary exploration does not automatically establish divergence. Governance defines the relevant indicators and boundary.</w:t>
      </w:r>
    </w:p>
    <w:p>
      <w:pPr/>
      <w:r>
        <w:t>Purpose of the optional Collatz reference. Collatz supplies a fixed origin-derived comparison trajectory and a reference stopping time against which an adaptive resolution run can report its relative path and number of iterations to governance-defined acceptance. It is an instrument for observing progression and iteration economy, not an optimization rule, a proof of convergence, or a prerequisite for Valid Transform. The mapping Phi_G from a candidate into a positive integer is governance-specific, and “above,” “below,” or “faster” than the reference acquires meaning only through that mapping and the active governance. The reference does not establish equivalent work per step, computational speedup, or superiority of an algorithm; packages without a meaningful integer projection simply omit this measurement.</w:t>
      </w:r>
    </w:p>
    <w:p>
      <w:pPr>
        <w:pStyle w:val="Heading2"/>
        <w:keepNext/>
      </w:pPr>
      <w:r>
        <w:t>11.2 Collatz-relative progression (optional)</w:t>
      </w:r>
    </w:p>
    <w:p>
      <w:pPr/>
      <w:r>
        <w:t>For a positive-integer projection x0 = Phi_G(R0), define the independent reference c0 = x0 and c(n+1) = c(n)/2 for even c(n), or 3c(n)+1 for odd c(n). The actual resolver trajectory xn = Phi_G(Rn) need not follow this recurrence.</w:t>
      </w:r>
    </w:p>
    <w:p>
      <w:pPr/>
      <w:r>
        <w:t>At each iteration, signed deviation Delta_n = xn - cn reports above (&gt;0), equal (=0), or below (&lt;0) the reference. Absolute deviation dn = |xn - cn| and normalized deviation dn* = |xn - cn| / max(1,cn) describe separation, not inherently improvement or deterioration. Governance assigns significance.</w:t>
      </w:r>
    </w:p>
    <w:p>
      <w:pPr>
        <w:pStyle w:val="Heading2"/>
        <w:keepNext/>
      </w:pPr>
      <w:r>
        <w:t>11.3 Stopping-time efficiency</w:t>
      </w:r>
    </w:p>
    <w:p>
      <w:pPr/>
      <w:r>
        <w:t>Let NC(x0) be the first hitting time of 1 in the Collatz reference, and NR the number of resolution iterations to governance-defined acceptance. For positive, nonzero stopping times, relative iteration efficiency eta_C = NC(x0)/NR and iteration savings S_C = 1 - NR/NC(x0). Immediate acceptance at iteration zero is recorded separately. The comparison is defined only when the reference reaches 1.</w:t>
      </w:r>
    </w:p>
    <w:p>
      <w:pPr/>
      <w:r>
        <w:t>Illustration: x0 = 27 has Collatz first-hitting time NC = 111. If resolution reaches acceptance in NR = 18 iterations, eta_C = 111/18 = 6.17 and S_C = 1 - 18/111 = 83.8%. This compares iteration counts against a mathematical reference, not equivalent computational work or runtime speed.</w:t>
      </w:r>
    </w:p>
    <w:p>
      <w:pPr>
        <w:pStyle w:val="Heading2"/>
        <w:keepNext/>
      </w:pPr>
      <w:r>
        <w:t>11.4 Invalid Validation and inspectable trace</w:t>
      </w:r>
    </w:p>
    <w:p>
      <w:pPr/>
      <w:r>
        <w:t>If governance-defined divergence exceeds its boundary, the active attempt exits as INVALID VALIDATION. This describes failure to validate, not necessarily invalid content. Preserve the governance configuration, candidate history, directional comparisons, materiality decisions, deviations, stability count, and reason for termination.</w:t>
      </w:r>
    </w:p>
    <w:p>
      <w:pPr/>
      <w:r>
        <w:t>An optional progression record contains iteration n, candidate Rn, projected xn, Collatz reference cn, signed deviation Delta_n, Better/Same/Worse direction, stability count, material ambiguity and outcome (continue, reverse, accept or terminate).</w:t>
      </w:r>
    </w:p>
    <w:p>
      <w:pPr>
        <w:pStyle w:val="Heading1"/>
        <w:keepNext/>
      </w:pPr>
      <w:r>
        <w:t>12. Positive and Negative Resolution Feedback</w:t>
      </w:r>
    </w:p>
    <w:p>
      <w:r>
        <w:t>An implementation may use negative selection to suppress fluff, unsupported assumptions, and unnecessary variance, while preserving strong contributions. Positive selection identifies productive relationships and pivot points for further generation.</w:t>
      </w:r>
    </w:p>
    <w:p>
      <w:r>
        <w:t>Both influence generation rather than altering the fixed evaluation standard. These feedback strategies do not require the nine-by-nine package.</w:t>
      </w:r>
    </w:p>
    <w:p>
      <w:pPr>
        <w:pStyle w:val="Heading2"/>
        <w:keepNext/>
      </w:pPr>
      <w:r>
        <w:t>12.1 Selection, pivot points and adaptation</w:t>
      </w:r>
    </w:p>
    <w:p>
      <w:pPr/>
      <w:r>
        <w:t>Positive selection preserves valuable contributions and may identify a pivot point: a contribution, finding or relationship with productive potential for further exploration. Negative selection identifies unsupported assumptions, repetition, unnecessary complexity or unproductive variance for removal or correction, while retaining permitted Chi.</w:t>
      </w:r>
    </w:p>
    <w:p>
      <w:pPr/>
      <w:r>
        <w:t>Adaptation can change prompt instructions, selected context, generation strategy, included or excluded contributions, and exploration direction. A human-directed pivot remains subject to H, G and the applicable authority. Selection does not itself establish Better, Same or Worse.</w:t>
      </w:r>
    </w:p>
    <w:p>
      <w:pPr/>
      <w:r>
        <w:t>For iteration n, the feedback record may be Fₙ = (Dₙ, Pₙ, Nₙ, Aₙ), where Dₙ records directional comparison; Pₙ positive selections; Nₙ negative selections; and Aₙ the subsequent adaptation. Preserve selection provenance and the candidate effects of adaptation.</w:t>
      </w:r>
    </w:p>
    <w:p>
      <w:pPr/>
      <w:r>
        <w:t>Example: A technical answer contains a useful new relationship, two repetitive paragraphs and an unsupported assumption. Positive selection retains the relationship; negative selection removes the repetition and flags the assumption for correction. The generator produces another candidate, and the evaluator assesses it against the unchanged G before the resolver assigns Better, Same or Worse.</w:t>
      </w:r>
    </w:p>
    <w:p>
      <w:pPr>
        <w:pStyle w:val="Heading1"/>
        <w:keepNext/>
      </w:pPr>
      <w:r>
        <w:t>13. Inspectability and Drill-Down</w:t>
      </w:r>
    </w:p>
    <w:p>
      <w:r>
        <w:t>Users can inspect active criteria, weights, measures, materiality thresholds, candidate results, comparisons, corrections, stability gates, divergence events, and validation outcomes.</w:t>
      </w:r>
    </w:p>
    <w:p>
      <w:r>
        <w:t>The Slop-to-Value package additionally exposes classifications, Value/Known/Fluff ratings, supporting legs, and Koppa/Stigma/Chi/Kai measurements. Other packages expose their own internal structures.</w:t>
      </w:r>
    </w:p>
    <w:p>
      <w:pPr>
        <w:pStyle w:val="Heading1"/>
        <w:keepNext/>
      </w:pPr>
      <w:r>
        <w:t>14. Reference Resolution Algorithm</w:t>
      </w:r>
    </w:p>
    <w:p>
      <w:r>
        <w:t>1. Initialize: Receive H, select and freeze G, establish budgets, create the resolution cycle, and initialize counters and provenance.</w:t>
      </w:r>
    </w:p>
    <w:p>
      <w:r>
        <w:t>2. Generate: Produce Rₙ and retain its source, contributions, generation configuration, and transformation provenance.</w:t>
      </w:r>
    </w:p>
    <w:p>
      <w:pPr/>
      <w:r>
        <w:t>3. Evaluate prerequisites: Apply configured human-alignment and governance gates; an ineligible candidate cannot advance the stability counter.</w:t>
      </w:r>
    </w:p>
    <w:p>
      <w:pPr/>
      <w:r>
        <w:t>4. Inspect materiality: Identify material ambiguities and permitted Chi; perform the governed removal test where applicable.</w:t>
      </w:r>
    </w:p>
    <w:p>
      <w:pPr/>
      <w:r>
        <w:t>5. Compare: Apply forward and backward evaluation under unchanged G; determine Better, Same, or Worse where the evidence permits.</w:t>
      </w:r>
    </w:p>
    <w:p>
      <w:pPr/>
      <w:r>
        <w:t>6. Select: Identify positive and negative contributions to preserve, correct, suppress, or explore.</w:t>
      </w:r>
    </w:p>
    <w:p>
      <w:pPr/>
      <w:r>
        <w:t>7. Update: Record directional comparison, stability counter, optional trajectory measurements, and budget use. Better or Worse material changes reset the stability counter; eligible Same increments it.</w:t>
      </w:r>
    </w:p>
    <w:p>
      <w:pPr/>
      <w:r>
        <w:t>8. Check termination: VALID TRANSFORM follows three consecutive eligible unchanged transitions; SUFFICIENT RESOLUTION follows an authorized Enough Boundary; INVALID VALIDATION follows the configured failure/divergence rule; BUDGET EXHAUSTED is a separate operational stop without acceptance.</w:t>
      </w:r>
    </w:p>
    <w:p>
      <w:pPr/>
      <w:r>
        <w:t>9. Adapt: If continuing, pass structured findings and selection directives to the generator without modifying G.</w:t>
      </w:r>
    </w:p>
    <w:p>
      <w:pPr/>
      <w:r>
        <w:t>10. Preserve: Append candidate, transformation, evaluation, feedback, human decisions and termination evidence to lattice history; repeat from generation as budgets permit.</w:t>
      </w:r>
    </w:p>
    <w:p>
      <w:pPr/>
      <w:r>
        <w:t>CONTINUITY RECORD: For each transition, preserve candidate identity, contribution provenance, transformation τₙ, comparison Dₙ, positive/negative selection and applied generator adaptation. Human-directed changes that alter G or the governing objective begin a subsequent cycle.</w:t>
      </w:r>
    </w:p>
    <w:p>
      <w:pPr>
        <w:pStyle w:val="Heading2"/>
        <w:keepNext/>
      </w:pPr>
      <w:r>
        <w:t>14.1 End-to-end reference resolution trace</w:t>
      </w:r>
    </w:p>
    <w:p>
      <w:r>
        <w:t>Human request H: Produce a concise technical explanation of a software authentication process. A fixed example governance package requires accurate authentication claims (Validity), a connected and understandable sequence (Cohesion), and allows stylistic variation (Spirit). Omission of token verification is material; equivalent wording and formatting are permitted variations.</w:t>
      </w:r>
    </w:p>
    <w:p>
      <w:r>
        <w:t>R1: The initial candidate omits token verification. The evaluator identifies the material omission. Stability = 0; the resolver requests correction.</w:t>
      </w:r>
    </w:p>
    <w:p>
      <w:r>
        <w:t>R2: Token verification is added and the technical explanation becomes accurate. Relative to R1, the change is Better and material. Stability remains 0; the resolver positively selects the correction.</w:t>
      </w:r>
    </w:p>
    <w:p>
      <w:r>
        <w:t>R3: The same technical process appears in clearer wording. The R2→R3 comparison is Same under G. Stability = 1; the first validation gate passes.</w:t>
      </w:r>
    </w:p>
    <w:p>
      <w:r>
        <w:t>R4: The explanation changes formatting without changing the required technical meaning. The R3→R4 comparison is Same. Stability = 2; the second validation gate passes.</w:t>
      </w:r>
    </w:p>
    <w:p>
      <w:r>
        <w:t>R5: A further equivalent explanation introduces no material change. The R4→R5 comparison is Same. Stability = 3; the third validation gate passes and the outcome is VALID TRANSFORM.</w:t>
      </w:r>
    </w:p>
    <w:p>
      <w:r>
        <w:t>Trace interpretation. All five candidates use the same G. Improvement at R2 does not increment stability; R3 through R5 establish three consecutive unchanged comparisons. An Enough Boundary could authorize SUFFICIENT RESOLUTION sooner if its acceptance conditions were met. Preserve H, G, candidate provenance, comparisons, selection decisions, and the final outcome.</w:t>
      </w:r>
    </w:p>
    <w:p>
      <w:pPr>
        <w:pStyle w:val="Heading1"/>
        <w:keepNext/>
      </w:pPr>
      <w:r>
        <w:t>15. Extensibility and Model Independence</w:t>
      </w:r>
    </w:p>
    <w:p>
      <w:r>
        <w:t>Generation may use language models, deterministic algorithms, agents, or other mechanisms. Evaluation may use weighted scores, rules, graph relationships, structured tests, or combinations.</w:t>
      </w:r>
    </w:p>
    <w:p>
      <w:r>
        <w:t>The same resolver may accept content, software, or research governance packages without changing its fundamental comparison and validation behavior.</w:t>
      </w:r>
    </w:p>
    <w:p>
      <w:pPr>
        <w:pStyle w:val="Heading2"/>
        <w:keepNext/>
      </w:pPr>
      <w:r>
        <w:t>15.1 Non-content governance example: Software validation</w:t>
      </w:r>
    </w:p>
    <w:p>
      <w:r>
        <w:t>Human request H: Modify an authentication service to support token rotation while preserving existing valid sessions.</w:t>
      </w:r>
    </w:p>
    <w:p>
      <w:r>
        <w:t>An injected software governance package supplies criteria (correctness, compatibility, security), a materiality rule (unexpected invalidation of an existing valid session is material), and an Enough Boundary (required tests pass within configured iteration, cycle and compute budgets).</w:t>
      </w:r>
    </w:p>
    <w:p>
      <w:r>
        <w:t>R0 supports token rotation but unexpectedly invalidates existing sessions. The evaluator flags a material compatibility failure and the resolver requests correction.</w:t>
      </w:r>
    </w:p>
    <w:p>
      <w:r>
        <w:t>R1 preserves existing sessions while enabling rotation. Compared with R0, R1 is Better. R2 refactors the implementation without altering required externally observable behavior and is Same relative to R1 under G.</w:t>
      </w:r>
    </w:p>
    <w:p>
      <w:r>
        <w:t>The resolver may continue consecutive stability comparisons until three gates pass, or return SUFFICIENT RESOLUTION if the Enough Boundary is satisfied earlier. The same orchestration applies with no Slop-to-Value content matrix.</w:t>
      </w:r>
    </w:p>
    <w:p>
      <w:pPr>
        <w:pStyle w:val="Heading1"/>
        <w:keepNext/>
      </w:pPr>
      <w:r>
        <w:t>16. Architectural Properties</w:t>
      </w:r>
    </w:p>
    <w:p>
      <w:r>
        <w:t>The architecture provides configurable governance, fixed evaluation within a cycle, adaptive generation, materiality-based resolution, bidirectional comparison, correction tolerance, three-gate stability, divergence termination, inspectability, and implementation independence.</w:t>
      </w:r>
    </w:p>
    <w:p>
      <w:pPr>
        <w:pStyle w:val="Heading2"/>
        <w:keepNext/>
      </w:pPr>
      <w:r>
        <w:t>16.1 Consistency conventions</w:t>
      </w:r>
    </w:p>
    <w:p>
      <w:r>
        <w:t>Use resolution for the process, resolution cycle for a bounded execution with fixed G, resolver for the coordinating component, candidate for a proposed result state, contribution for an identifiable part of a candidate, and transformation for an operation connecting states.</w:t>
      </w:r>
    </w:p>
    <w:p>
      <w:r>
        <w:t>Equivalence is governance-relative (≡G); identity and permitted immaterial variation are distinct ways to satisfy an unchanged comparison. Human alignment, governance acceptance, and consecutive stability validation remain logically distinct.</w:t>
      </w:r>
    </w:p>
    <w:p>
      <w:r>
        <w:t>VALID TRANSFORM, SUFFICIENT RESOLUTION, and INVALID VALIDATION are the three resolution outcomes. BUDGET EXHAUSTED is a separate fourth operational stop if limits are reached before acceptance. Governance remains immutable during a cycle; human authority, budget renewals and subsequent governance revisions are recorded rather than silently applied.</w:t>
      </w:r>
    </w:p>
    <w:p>
      <w:r>
        <w:t>The Slop-to-Value matrix, optional Collatz-relative projections, and software example are reference implementations or injected measurements. None is a mandatory element of the general resolver.</w:t>
      </w:r>
    </w:p>
    <w:p>
      <w:r>
        <w:t>Use supporting leg consistently for the inspectable positions in the 9 × 9 reference package. Retain provenance of candidates, transformations, contributions, comparisons and feedback across branching paths and subsequent cycles.</w:t>
      </w:r>
    </w:p>
    <w:p>
      <w:pPr>
        <w:pStyle w:val="Heading1"/>
        <w:keepNext/>
        <w:spacing w:after="80"/>
      </w:pPr>
      <w:r>
        <w:t>17. Executable Interface and State Contracts</w:t>
      </w:r>
    </w:p>
    <w:p>
      <w:pPr>
        <w:spacing w:after="80"/>
      </w:pPr>
      <w:r>
        <w:t>The following three logical contracts define interoperable exchanges among the evaluator, resolver and generator, together with the state needed to preserve candidate and transformation continuity. They specify required meanings and references, not a mandated model, programming language, wire protocol or storage product. The JSON examples are illustrative representations; identifiers and hashes below are placeholders.</w:t>
      </w:r>
    </w:p>
    <w:p>
      <w:pPr>
        <w:pStyle w:val="Heading2"/>
        <w:keepNext/>
        <w:spacing w:after="80"/>
      </w:pPr>
      <w:r>
        <w:t>17.1 Evaluator contract</w:t>
      </w:r>
    </w:p>
    <w:p>
      <w:pPr>
        <w:spacing w:after="80"/>
      </w:pPr>
      <w:r>
        <w:t>An evaluator applies the frozen governance configuration to one candidate or to a candidate pair. Define an evaluation request Qₙ = (H, G, Rₐ, Rᵦ, Kₙ), where H is the human request, G is the active immutable governance package, Rₐ is the optional baseline, Rᵦ is the candidate under evaluation, and Kₙ holds dependency and provenance context. Every evaluation references the precise governance configuration used.</w:t>
      </w:r>
    </w:p>
    <w:p>
      <w:pPr>
        <w:spacing w:after="80"/>
      </w:pPr>
      <w:r>
        <w:t>The evaluation result Eₙ = (Vₙ, Mₙ, Dₙ, Uₙ) contains criterion measurements and acceptance findings Vₙ; materiality and equivalence findings Mₙ; directional determination Dₙ; and supporting observations or unresolved conditions Uₙ. A missing or indeterminate verdict must be marked unresolved; it cannot be silently represented as Same.</w:t>
      </w:r>
    </w:p>
    <w:p>
      <w:pPr>
        <w:pStyle w:val="Heading2"/>
        <w:keepNext/>
        <w:spacing w:after="80"/>
      </w:pPr>
      <w:r>
        <w:t>Example evaluator request</w:t>
      </w:r>
    </w:p>
    <w:p>
      <w:pPr>
        <w:spacing w:after="180" w:before="80"/>
        <w:ind w:left="259"/>
        <w:shd w:fill="F2F5F8"/>
      </w:pPr>
      <w:r>
        <w:rPr>
          <w:rFonts w:ascii="Consolas" w:hAnsi="Consolas"/>
          <w:color w:val="233647"/>
          <w:sz w:val="16"/>
        </w:rPr>
        <w:t>{</w:t>
        <w:br/>
        <w:t xml:space="preserve">  "evaluation_id": "eval_004",</w:t>
        <w:br/>
        <w:t xml:space="preserve">  "cycle_id": "cycle_001",</w:t>
        <w:br/>
        <w:t xml:space="preserve">  "governance": {</w:t>
        <w:br/>
        <w:t xml:space="preserve">    "id": "software_validation",</w:t>
        <w:br/>
        <w:t xml:space="preserve">    "version": "1.0",</w:t>
        <w:br/>
        <w:t xml:space="preserve">    "content_hash": "sha256:&lt;governance-digest&gt;"</w:t>
        <w:br/>
        <w:t xml:space="preserve">  },</w:t>
        <w:br/>
        <w:t xml:space="preserve">  "human_request_id": "request_001",</w:t>
        <w:br/>
        <w:t xml:space="preserve">  "baseline_candidate_id": "R_03",</w:t>
        <w:br/>
        <w:t xml:space="preserve">  "candidate_id": "R_04",</w:t>
        <w:br/>
        <w:t xml:space="preserve">  "context": {</w:t>
        <w:br/>
        <w:t xml:space="preserve">    "dependency_refs": [</w:t>
        <w:br/>
        <w:t xml:space="preserve">      "dependency_01"</w:t>
        <w:br/>
        <w:t xml:space="preserve">    ],</w:t>
        <w:br/>
        <w:t xml:space="preserve">    "contribution_refs": [</w:t>
        <w:br/>
        <w:t xml:space="preserve">      "contribution_04"</w:t>
        <w:br/>
        <w:t xml:space="preserve">    ]</w:t>
        <w:br/>
        <w:t xml:space="preserve">  }</w:t>
        <w:br/>
        <w:t>}</w:t>
      </w:r>
    </w:p>
    <w:p>
      <w:pPr>
        <w:pStyle w:val="Heading2"/>
        <w:keepNext/>
        <w:spacing w:after="80"/>
      </w:pPr>
      <w:r>
        <w:t>Example evaluator verdict</w:t>
      </w:r>
    </w:p>
    <w:p>
      <w:pPr>
        <w:spacing w:after="180" w:before="80"/>
        <w:ind w:left="259"/>
        <w:shd w:fill="F2F5F8"/>
      </w:pPr>
      <w:r>
        <w:rPr>
          <w:rFonts w:ascii="Consolas" w:hAnsi="Consolas"/>
          <w:color w:val="233647"/>
          <w:sz w:val="16"/>
        </w:rPr>
        <w:t>{</w:t>
        <w:br/>
        <w:t xml:space="preserve">  "evaluation_id": "eval_004",</w:t>
        <w:br/>
        <w:t xml:space="preserve">  "governance_version": "1.0",</w:t>
        <w:br/>
        <w:t xml:space="preserve">  "candidate_id": "R_04",</w:t>
        <w:br/>
        <w:t xml:space="preserve">  "baseline_candidate_id": "R_03",</w:t>
        <w:br/>
        <w:t xml:space="preserve">  "criterion_results": [</w:t>
        <w:br/>
        <w:t xml:space="preserve">    {</w:t>
        <w:br/>
        <w:t xml:space="preserve">      "criterion_id": "correctness",</w:t>
        <w:br/>
        <w:t xml:space="preserve">      "status": "satisfied",</w:t>
        <w:br/>
        <w:t xml:space="preserve">      "material": false,</w:t>
        <w:br/>
        <w:t xml:space="preserve">      "evidence_refs": [</w:t>
        <w:br/>
        <w:t xml:space="preserve">        "test_17"</w:t>
        <w:br/>
        <w:t xml:space="preserve">      ]</w:t>
        <w:br/>
        <w:t xml:space="preserve">    },</w:t>
        <w:br/>
        <w:t xml:space="preserve">    {</w:t>
        <w:br/>
        <w:t xml:space="preserve">      "criterion_id": "compatibility",</w:t>
        <w:br/>
        <w:t xml:space="preserve">      "status": "failed",</w:t>
        <w:br/>
        <w:t xml:space="preserve">      "material": true,</w:t>
        <w:br/>
        <w:t xml:space="preserve">      "reason": "An existing valid session is rejected.",</w:t>
        <w:br/>
        <w:t xml:space="preserve">      "evidence_refs": [</w:t>
        <w:br/>
        <w:t xml:space="preserve">        "test_23"</w:t>
        <w:br/>
        <w:t xml:space="preserve">      ]</w:t>
        <w:br/>
        <w:t xml:space="preserve">    }</w:t>
        <w:br/>
        <w:t xml:space="preserve">  ],</w:t>
        <w:br/>
        <w:t xml:space="preserve">  "comparison": {</w:t>
        <w:br/>
        <w:t xml:space="preserve">    "status": "determined",</w:t>
        <w:br/>
        <w:t xml:space="preserve">    "direction": "Worse",</w:t>
        <w:br/>
        <w:t xml:space="preserve">    "equivalent": false</w:t>
        <w:br/>
        <w:t xml:space="preserve">  },</w:t>
        <w:br/>
        <w:t xml:space="preserve">  "unresolved": []</w:t>
        <w:br/>
        <w:t>}</w:t>
      </w:r>
    </w:p>
    <w:p>
      <w:pPr>
        <w:spacing w:after="80"/>
      </w:pPr>
      <w:r>
        <w:t>Evaluation can be deterministic, model-based, statistical, graph-based or hybrid. An LLM evaluator may receive frozen governance and candidate data in a constrained prompt and emit a structured verdict; no prompt template is part of the universal architecture. The resolver rejects or re-evaluates a verdict produced under the wrong governance version. An evaluator may report a rule as inapplicable or unresolved, but may not replace it.</w:t>
      </w:r>
    </w:p>
    <w:p>
      <w:pPr>
        <w:pStyle w:val="Heading2"/>
        <w:keepNext/>
        <w:spacing w:after="80"/>
      </w:pPr>
      <w:r>
        <w:t>17.2 Feedback and adaptation contract</w:t>
      </w:r>
    </w:p>
    <w:p>
      <w:pPr>
        <w:spacing w:after="80"/>
      </w:pPr>
      <w:r>
        <w:t>The resolver sends feedback Fₙ = (Dₙ, Pₙ, Nₙ, Aₙ): governing comparison and justification Dₙ, positively selected contributions Pₙ, negatively selected contributions Nₙ, and adaptation directives Aₙ. These fields distinguish observed evaluation from choices about what generation should do next.</w:t>
      </w:r>
    </w:p>
    <w:p>
      <w:pPr>
        <w:pStyle w:val="Heading2"/>
        <w:keepNext/>
        <w:spacing w:after="80"/>
      </w:pPr>
      <w:r>
        <w:t>Example resolver-to-generator feedback</w:t>
      </w:r>
    </w:p>
    <w:p>
      <w:pPr>
        <w:spacing w:after="180" w:before="80"/>
        <w:ind w:left="259"/>
        <w:shd w:fill="F2F5F8"/>
      </w:pPr>
      <w:r>
        <w:rPr>
          <w:rFonts w:ascii="Consolas" w:hAnsi="Consolas"/>
          <w:color w:val="233647"/>
          <w:sz w:val="16"/>
        </w:rPr>
        <w:t>{</w:t>
        <w:br/>
        <w:t xml:space="preserve">  "feedback_id": "feedback_004",</w:t>
        <w:br/>
        <w:t xml:space="preserve">  "cycle_id": "cycle_001",</w:t>
        <w:br/>
        <w:t xml:space="preserve">  "iteration": 4,</w:t>
        <w:br/>
        <w:t xml:space="preserve">  "source_candidate_id": "R_04",</w:t>
        <w:br/>
        <w:t xml:space="preserve">  "governance_version": "1.0",</w:t>
        <w:br/>
        <w:t xml:space="preserve">  "direction": "Worse",</w:t>
        <w:br/>
        <w:t xml:space="preserve">  "materiality_findings": [</w:t>
        <w:br/>
        <w:t xml:space="preserve">    {</w:t>
        <w:br/>
        <w:t xml:space="preserve">      "criterion_id": "compatibility",</w:t>
        <w:br/>
        <w:t xml:space="preserve">      "material": true,</w:t>
        <w:br/>
        <w:t xml:space="preserve">      "reason": "Previously valid sessions are rejected.",</w:t>
        <w:br/>
        <w:t xml:space="preserve">      "evidence_refs": [</w:t>
        <w:br/>
        <w:t xml:space="preserve">        "test_23"</w:t>
        <w:br/>
        <w:t xml:space="preserve">      ]</w:t>
        <w:br/>
        <w:t xml:space="preserve">    }</w:t>
        <w:br/>
        <w:t xml:space="preserve">  ],</w:t>
        <w:br/>
        <w:t xml:space="preserve">  "positive_selections": [</w:t>
        <w:br/>
        <w:t xml:space="preserve">    {</w:t>
        <w:br/>
        <w:t xml:space="preserve">      "contribution_id": "token_rotation",</w:t>
        <w:br/>
        <w:t xml:space="preserve">      "action": "preserve"</w:t>
        <w:br/>
        <w:t xml:space="preserve">    }</w:t>
        <w:br/>
        <w:t xml:space="preserve">  ],</w:t>
        <w:br/>
        <w:t xml:space="preserve">  "negative_selections": [</w:t>
        <w:br/>
        <w:t xml:space="preserve">    {</w:t>
        <w:br/>
        <w:t xml:space="preserve">      "contribution_id": "session_invalidation",</w:t>
        <w:br/>
        <w:t xml:space="preserve">      "action": "correct"</w:t>
        <w:br/>
        <w:t xml:space="preserve">    }</w:t>
        <w:br/>
        <w:t xml:space="preserve">  ],</w:t>
        <w:br/>
        <w:t xml:space="preserve">  "adaptation": {</w:t>
        <w:br/>
        <w:t xml:space="preserve">    "strategy": "correct_existing_candidate",</w:t>
        <w:br/>
        <w:t xml:space="preserve">    "instructions": [</w:t>
        <w:br/>
        <w:t xml:space="preserve">      "Preserve token rotation.",</w:t>
        <w:br/>
        <w:t xml:space="preserve">      "Restore compatibility with valid sessions."</w:t>
        <w:br/>
        <w:t xml:space="preserve">    ]</w:t>
        <w:br/>
        <w:t xml:space="preserve">  }</w:t>
        <w:br/>
        <w:t>}</w:t>
      </w:r>
    </w:p>
    <w:p>
      <w:pPr>
        <w:spacing w:after="80"/>
      </w:pPr>
      <w:r>
        <w:t>Selection identifies contributions to retain, suppress, correct or explore. Adaptation changes the generator’s prompt, selected context, strategy or requested operation. Positive selection need not increase output; negative selection need not erase a contribution. The generator produces a subsequent candidate using H, the current candidate and Fₙ, while retaining a reference to the feedback that informed it. Failure to carry out a directive is evaluated normally, not treated as implicit compliance.</w:t>
      </w:r>
    </w:p>
    <w:p>
      <w:pPr>
        <w:pStyle w:val="Heading2"/>
        <w:keepNext/>
        <w:spacing w:after="80"/>
      </w:pPr>
      <w:r>
        <w:t>17.3 Lattice state and provenance contract</w:t>
      </w:r>
    </w:p>
    <w:p>
      <w:pPr>
        <w:spacing w:after="80"/>
      </w:pPr>
      <w:r>
        <w:t>The lattice retains logically distinct records for candidates, transformations, contributions, evaluations, feedback, cycles and their resolution histories. Candidate identifiers are stable. A transformation connects a source candidate to a result even when that result is a fresh regeneration, and records the contributions it preserves or modifies.</w:t>
      </w:r>
    </w:p>
    <w:p>
      <w:pPr>
        <w:pStyle w:val="Heading2"/>
        <w:keepNext/>
        <w:spacing w:after="80"/>
      </w:pPr>
      <w:r>
        <w:t>Example candidate record</w:t>
      </w:r>
    </w:p>
    <w:p>
      <w:pPr>
        <w:spacing w:after="180" w:before="80"/>
        <w:ind w:left="259"/>
        <w:shd w:fill="F2F5F8"/>
      </w:pPr>
      <w:r>
        <w:rPr>
          <w:rFonts w:ascii="Consolas" w:hAnsi="Consolas"/>
          <w:color w:val="233647"/>
          <w:sz w:val="16"/>
        </w:rPr>
        <w:t>{</w:t>
        <w:br/>
        <w:t xml:space="preserve">  "candidate_id": "R_04",</w:t>
        <w:br/>
        <w:t xml:space="preserve">  "cycle_id": "cycle_001",</w:t>
        <w:br/>
        <w:t xml:space="preserve">  "content_ref": "artifact_004",</w:t>
        <w:br/>
        <w:t xml:space="preserve">  "content_hash": "sha256:&lt;candidate-digest&gt;",</w:t>
        <w:br/>
        <w:t xml:space="preserve">  "created_from": "R_03",</w:t>
        <w:br/>
        <w:t xml:space="preserve">  "generation_feedback_id": "feedback_003",</w:t>
        <w:br/>
        <w:t xml:space="preserve">  "contribution_ids": [</w:t>
        <w:br/>
        <w:t xml:space="preserve">    "token_rotation",</w:t>
        <w:br/>
        <w:t xml:space="preserve">    "session_invalidation"</w:t>
        <w:br/>
        <w:t xml:space="preserve">  ],</w:t>
        <w:br/>
        <w:t xml:space="preserve">  "evaluation_ids": [</w:t>
        <w:br/>
        <w:t xml:space="preserve">    "eval_004"</w:t>
        <w:br/>
        <w:t xml:space="preserve">  ]</w:t>
        <w:br/>
        <w:t>}</w:t>
      </w:r>
    </w:p>
    <w:p>
      <w:pPr>
        <w:pStyle w:val="Heading2"/>
        <w:keepNext/>
        <w:spacing w:after="80"/>
      </w:pPr>
      <w:r>
        <w:t>Example transformation record</w:t>
      </w:r>
    </w:p>
    <w:p>
      <w:pPr>
        <w:spacing w:after="180" w:before="80"/>
        <w:ind w:left="259"/>
        <w:shd w:fill="F2F5F8"/>
      </w:pPr>
      <w:r>
        <w:rPr>
          <w:rFonts w:ascii="Consolas" w:hAnsi="Consolas"/>
          <w:color w:val="233647"/>
          <w:sz w:val="16"/>
        </w:rPr>
        <w:t>{</w:t>
        <w:br/>
        <w:t xml:space="preserve">  "transformation_id": "transform_004",</w:t>
        <w:br/>
        <w:t xml:space="preserve">  "cycle_id": "cycle_001",</w:t>
        <w:br/>
        <w:t xml:space="preserve">  "source_candidate_id": "R_03",</w:t>
        <w:br/>
        <w:t xml:space="preserve">  "target_candidate_id": "R_04",</w:t>
        <w:br/>
        <w:t xml:space="preserve">  "operation": "adaptive_correction",</w:t>
        <w:br/>
        <w:t xml:space="preserve">  "feedback_id": "feedback_003",</w:t>
        <w:br/>
        <w:t xml:space="preserve">  "comparison_evaluation_id": "eval_004",</w:t>
        <w:br/>
        <w:t xml:space="preserve">  "contributions_preserved": [</w:t>
        <w:br/>
        <w:t xml:space="preserve">    "token_rotation"</w:t>
        <w:br/>
        <w:t xml:space="preserve">  ],</w:t>
        <w:br/>
        <w:t xml:space="preserve">  "contributions_modified": [</w:t>
        <w:br/>
        <w:t xml:space="preserve">    "session_invalidation"</w:t>
        <w:br/>
        <w:t xml:space="preserve">  ]</w:t>
        <w:br/>
        <w:t>}</w:t>
      </w:r>
    </w:p>
    <w:p>
      <w:pPr>
        <w:pStyle w:val="Heading2"/>
        <w:keepNext/>
        <w:spacing w:after="80"/>
      </w:pPr>
      <w:r>
        <w:t>Example active cycle record</w:t>
      </w:r>
    </w:p>
    <w:p>
      <w:pPr>
        <w:spacing w:after="180" w:before="80"/>
        <w:ind w:left="259"/>
        <w:shd w:fill="F2F5F8"/>
      </w:pPr>
      <w:r>
        <w:rPr>
          <w:rFonts w:ascii="Consolas" w:hAnsi="Consolas"/>
          <w:color w:val="233647"/>
          <w:sz w:val="16"/>
        </w:rPr>
        <w:t>{</w:t>
        <w:br/>
        <w:t xml:space="preserve">  "cycle_id": "cycle_001",</w:t>
        <w:br/>
        <w:t xml:space="preserve">  "request_id": "request_001",</w:t>
        <w:br/>
        <w:t xml:space="preserve">  "governance_id": "software_validation",</w:t>
        <w:br/>
        <w:t xml:space="preserve">  "governance_version": "1.0",</w:t>
        <w:br/>
        <w:t xml:space="preserve">  "initial_candidate_id": "R_01",</w:t>
        <w:br/>
        <w:t xml:space="preserve">  "current_candidate_id": "R_04",</w:t>
        <w:br/>
        <w:t xml:space="preserve">  "last_accepted_better_id": "R_03",</w:t>
        <w:br/>
        <w:t xml:space="preserve">  "stability_count": 0,</w:t>
        <w:br/>
        <w:t xml:space="preserve">  "iterations_used": 4,</w:t>
        <w:br/>
        <w:t xml:space="preserve">  "iteration_budget": 20,</w:t>
        <w:br/>
        <w:t xml:space="preserve">  "status": "active"</w:t>
        <w:br/>
        <w:t>}</w:t>
      </w:r>
    </w:p>
    <w:p>
      <w:pPr>
        <w:spacing w:after="80"/>
      </w:pPr>
      <w:r>
        <w:t>Reversal reactivates an earlier candidate or acceptable state and appends a new recovery transformation; it does not delete the failed branch. Stability belongs to a specific consecutive validation path under one governance configuration. It increments only after an eligible equivalent transition and resets on a material change, failed prerequisite gate or changed comparison branch. Copying identical candidate content does not automatically inherit stability. Records may be held in memory, relational storage, a graph store, document storage or an event log.</w:t>
      </w:r>
    </w:p>
    <w:p>
      <w:pPr>
        <w:pStyle w:val="Heading2"/>
        <w:keepNext/>
        <w:spacing w:after="80"/>
      </w:pPr>
      <w:r>
        <w:t>17.4 Combined exchange and invariants</w:t>
      </w:r>
    </w:p>
    <w:p>
      <w:pPr>
        <w:spacing w:after="80"/>
      </w:pPr>
      <w:r>
        <w:t>The normal exchange is: (1) persist a generated candidate and provenance; (2) evaluate it against G; (3) let the resolver compare, select, correct, reverse or terminate; (4) issue structured feedback when another candidate is needed; (5) generate and persist the next candidate and its transformation; (6) repeat within the Enough Boundary and resolution budgets.</w:t>
      </w:r>
    </w:p>
    <w:p>
      <w:pPr>
        <w:spacing w:after="80"/>
      </w:pPr>
      <w:r>
        <w:t>The required invariants are: fixed governance identity within a cycle; traceable candidate provenance; Same only for governance-relative equivalence; separation of findings from adaptation directives; preservation of unsuccessful branches during reversal; three independently demonstrated unchanged transitions for stability; and human authority governed by the active package. These requirements do not depend on any particular LLM or persistence engine.</w:t>
      </w:r>
    </w:p>
    <w:p>
      <w:pPr>
        <w:pStyle w:val="Heading1"/>
      </w:pPr>
      <w:r>
        <w:t>18. Archetypal Governance and Profile Interchangeability</w:t>
      </w:r>
    </w:p>
    <w:p>
      <w:pPr>
        <w:pStyle w:val="Heading2"/>
      </w:pPr>
      <w:r>
        <w:t>18.1 Archetypal dual-state profile</w:t>
      </w:r>
    </w:p>
    <w:p>
      <w:pPr/>
      <w:r>
        <w:t>An archetypal dual-state governance profile evaluates a candidate using complementary Target State and Divergence State descriptions. Both may be present in one candidate; the evaluator measures their correspondence independently. Such profiles may express symbolic, narrative, behavioral or structural criteria without adding a core resolver mechanism.</w:t>
      </w:r>
    </w:p>
    <w:p>
      <w:pPr/>
      <w:r>
        <w:t>Under G = (C, W, M, B), C defines dimensions with Target and Divergence descriptions; W defines priorities and conflict rules; M supplies state correspondence, equivalence and materiality predicates; B supplies acceptance, permitted variation, divergence and Enough Boundary conditions.</w:t>
      </w:r>
    </w:p>
    <w:p>
      <w:pPr/>
      <w:r>
        <w:t>Let Aᵢ(R,G) = (Tᵢ(R), Dᵢ(R)), where Tᵢ and Dᵢ independently characterize correspondence with desired and divergent states. Governance specifies how these determinations contribute to Better/Same/Worse. Low target correspondence need not imply high divergence, and high target correspondence need not exclude material divergence.</w:t>
      </w:r>
    </w:p>
    <w:p>
      <w:pPr>
        <w:pStyle w:val="Heading2"/>
      </w:pPr>
      <w:r>
        <w:t>18.2 Illustrative archetypal governance profile</w:t>
      </w:r>
    </w:p>
    <w:p>
      <w:pPr/>
      <w:r>
        <w:t>Illustrative profile (logical JSON, not a mandatory serialization):</w:t>
      </w:r>
    </w:p>
    <w:p>
      <w:pPr/>
      <w:r>
        <w:t>{"governance_id":"archetypal_architect","version":"1.0","profile_type":"archetypal_dual_state","criteria":[{"id":"architect","target_state":{"description":"Logical flow is connected; components interlock","indicators":["traceable dependencies","consistent interfaces"]},"divergence_state":{"description":"Rigidity, brittle logic, or forced connections","indicators":["unsupported dependencies","inflexible composition"]}}],"weights":{"comparison_method":"governance_defined"},"measures":{"state_correspondence":"relational","materiality":"governance_defined","equivalence":"governance_defined"},"boundaries":{"enough":"governance_defined","divergence":"governance_defined"}}</w:t>
      </w:r>
    </w:p>
    <w:p>
      <w:pPr/>
      <w:r>
        <w:t>Materiality may reflect departures from the Target State, divergence indicators, omissions, unsupported assumptions, damaged dependencies, and human constraints. It is not limited to matching the wording of a divergence description.</w:t>
      </w:r>
    </w:p>
    <w:p>
      <w:pPr>
        <w:pStyle w:val="Heading2"/>
      </w:pPr>
      <w:r>
        <w:t>18.3 Composition and cross-profile comparison</w:t>
      </w:r>
    </w:p>
    <w:p>
      <w:pPr/>
      <w:r>
        <w:t>The architecture supports Slop-to-Value, Software Validation, Archetypal Dual-State, and other governance implementations using the same logical evaluator, feedback and lattice-state contracts.</w:t>
      </w:r>
    </w:p>
    <w:p>
      <w:pPr/>
      <w:r>
        <w:t>Multiple packages may be composed as G* = Compose(G₁, …, Gₖ) only when conflicts, priorities, boundaries, equivalence rules and human authority have explicit reconciliation rules. The composite is fixed for a cycle.</w:t>
      </w:r>
    </w:p>
    <w:p>
      <w:pPr/>
      <w:r>
        <w:t>Rₐ ≡G₁ Rᵦ does not imply Rₐ ≡G₂ Rᵦ. Replacing governance requires new evaluation, and an earlier stability counter cannot automatically transfer between governance profiles.</w:t>
      </w:r>
    </w:p>
    <w:p>
      <w:pPr>
        <w:pStyle w:val="Heading2"/>
      </w:pPr>
      <w:r>
        <w:t>18.4 Archetypal worked progression</w:t>
      </w:r>
    </w:p>
    <w:p>
      <w:pPr/>
      <w:r>
        <w:t>Human request H: Design a modular system that can add evaluators without changing the resolver. The Architect profile targets coherent dependencies and interfaces while identifying brittle coupling as divergence.</w:t>
      </w:r>
    </w:p>
    <w:p>
      <w:pPr/>
      <w:r>
        <w:t>R1: Evaluators are embedded directly in the resolver. Target correspondence is partial; divergence through rigidity is high.</w:t>
      </w:r>
    </w:p>
    <w:p>
      <w:pPr/>
      <w:r>
        <w:t>R2: A common evaluator interface replaces direct dependencies. The result is Better under the same governance.</w:t>
      </w:r>
    </w:p>
    <w:p>
      <w:pPr/>
      <w:r>
        <w:t>R3: An equivalent module arrangement preserves required behavior. R2 ≡G R3; stability = 1.</w:t>
      </w:r>
    </w:p>
    <w:p>
      <w:pPr/>
      <w:r>
        <w:t>R4: Another eligible equivalent arrangement preserves material requirements. R3 ≡G R4; stability = 2.</w:t>
      </w:r>
    </w:p>
    <w:p>
      <w:pPr/>
      <w:r>
        <w:t>R5: A further eligible equivalent arrangement makes no material change. R4 ≡G R5; stability = 3. VALID TRANSFORM follows three consecutive unchanged comparisons.</w:t>
      </w:r>
    </w:p>
    <w:p>
      <w:pPr/>
      <w:r>
        <w:t>This example demonstrates profile interchangeability without requiring the resolver to interpret archetypal terminology itself.</w:t>
      </w:r>
    </w:p>
    <w:p>
      <w:pPr>
        <w:pStyle w:val="Heading2"/>
      </w:pPr>
      <w:r>
        <w:t>18.5 Acceptance and notation consistency</w:t>
      </w:r>
    </w:p>
    <w:p>
      <w:pPr/>
      <w:r>
        <w:t>Eligible means a candidate passed prerequisite gates. Retained means available for comparison/recovery. Terminally accepted means VALID TRANSFORM or SUFFICIENT RESOLUTION. BUDGET EXHAUSTED records a stopped attempt and a retained candidate without implying acceptance.</w:t>
      </w:r>
    </w:p>
    <w:p>
      <w:pPr/>
      <w:r>
        <w:t>Reserve H for human request, G for governance, Rₙ for candidates, C/W/M/B for governance criteria/weights/measures/boundaries, D_G for directional comparison, E_G for equivalence, Fₙ for feedback, k for stability count and Φ_G for optional projection. Use descriptive subscripts to avoid collisions; Pₙ^gen denotes the generation prompt/configuration, distinct from positive selections.</w:t>
      </w:r>
    </w:p>
    <w:p>
      <w:pPr/>
      <w:r>
        <w:t>Reference traces use R1–R5 for candidate identities. The glossary contains one authoritative definition per term and supporting leg is the consistent term for inspectable reference-package criteria.</w:t>
      </w:r>
    </w:p>
    <w:p>
      <w:pPr>
        <w:pStyle w:val="Heading1"/>
        <w:keepNext/>
      </w:pPr>
      <w:r>
        <w:t>19. Conclusion</w:t>
      </w:r>
    </w:p>
    <w:p>
      <w:r>
        <w:t>The Governance-Driven Resolution Lattice separates the criteria used to judge a result from the mechanisms used to produce it. Governance packages are injectable and configurable; generation is adaptive; validation relies on directional comparison and repeated stability.</w:t>
      </w:r>
    </w:p>
    <w:p>
      <w:r>
        <w:t>The nine-by-nine Slop-to-Value matrix is one governance implementation expressing specific preferences. It is not a requirement of the underlying resolution mechanism.</w:t>
      </w:r>
    </w:p>
    <w:p>
      <w:pPr>
        <w:pStyle w:val="Heading1"/>
      </w:pPr>
      <w:r>
        <w:t>Appendix A. Consolidated Glossary</w:t>
      </w:r>
    </w:p>
    <w:p>
      <w:r>
        <w:t>The definitions below reproduce the v0.3 technical glossary, retaining established terminology and the reference-package distinctions.</w:t>
      </w:r>
    </w:p>
    <w:p>
      <w:pPr>
        <w:pStyle w:val="Heading1"/>
      </w:pPr>
      <w:r>
        <w:t>Glossary of Terms</w:t>
      </w:r>
    </w:p>
    <w:p>
      <w:pPr>
        <w:pStyle w:val="Heading2"/>
      </w:pPr>
      <w:r>
        <w:t>Architecture</w:t>
      </w:r>
    </w:p>
    <w:p>
      <w:r>
        <w:t>Governance Package (G) — Injectable criteria, weights, measures, and boundaries held fixed during an active cycle.</w:t>
      </w:r>
    </w:p>
    <w:p>
      <w:r>
        <w:t>Generator — Produces candidates; prompts and strategy may adapt from feedback.</w:t>
      </w:r>
    </w:p>
    <w:p>
      <w:r>
        <w:t>Evaluator — Applies G to candidates without changing G.</w:t>
      </w:r>
    </w:p>
    <w:p>
      <w:r>
        <w:t>Resolver — Coordinates comparison, ambiguity handling, correction, and validation.</w:t>
      </w:r>
    </w:p>
    <w:p>
      <w:r>
        <w:t>Resolution — Process of reducing material ambiguity to determine an acceptable outcome.</w:t>
      </w:r>
    </w:p>
    <w:p>
      <w:r>
        <w:t>Resolution Cycle — Bounded sequence of generation, evaluation and correction under one fixed governance configuration. A governing budget may cap the number of successive cycles.</w:t>
      </w:r>
    </w:p>
    <w:p>
      <w:r>
        <w:t>Candidate (Rₙ) — Result proposed at iteration n, whether edited or freshly regenerated.</w:t>
      </w:r>
    </w:p>
    <w:p>
      <w:r>
        <w:t>Transform — Operation or sequence changing one candidate state into another.</w:t>
      </w:r>
    </w:p>
    <w:p>
      <w:r>
        <w:t>Lattice — Interconnected candidate states, governing relationships, and permissible transformations.</w:t>
      </w:r>
    </w:p>
    <w:p>
      <w:r>
        <w:t>Candidate (Rₙ): A proposed result at progression index n; it can be edited, regenerated or restored.</w:t>
      </w:r>
    </w:p>
    <w:p>
      <w:r>
        <w:t>Contribution: An information element, structure, relationship or possibility participating in a candidate.</w:t>
      </w:r>
    </w:p>
    <w:p>
      <w:r>
        <w:t>Transformation (τₙ): An operation or recorded relationship connecting candidate states while retaining provenance.</w:t>
      </w:r>
    </w:p>
    <w:p>
      <w:r>
        <w:t>Accepted result: A candidate returned after an applicable acceptance condition has been satisfied.</w:t>
      </w:r>
    </w:p>
    <w:p>
      <w:pPr>
        <w:pStyle w:val="Heading2"/>
      </w:pPr>
      <w:r>
        <w:t>Comparison and validation</w:t>
      </w:r>
    </w:p>
    <w:p>
      <w:r>
        <w:t>Better / Same / Worse — Governance-relative directional outcomes; Same requires substitutability or immaterial permitted variation.</w:t>
      </w:r>
    </w:p>
    <w:p>
      <w:r>
        <w:t>Equivalence (≡G) — Two candidates are substitutable for the governing purpose.</w:t>
      </w:r>
    </w:p>
    <w:p>
      <w:r>
        <w:t>Identity — Exact sameness, stronger than contextual equivalence.</w:t>
      </w:r>
    </w:p>
    <w:p>
      <w:r>
        <w:t>Materiality — Whether a difference affects the governing outcome and requires further resolution.</w:t>
      </w:r>
    </w:p>
    <w:p>
      <w:r>
        <w:t>Permitted Variation — A difference that governance explicitly allows to remain open.</w:t>
      </w:r>
    </w:p>
    <w:p>
      <w:r>
        <w:t>Forward Evaluation — Examines effects of moving from the earlier to the later candidate.</w:t>
      </w:r>
    </w:p>
    <w:p>
      <w:r>
        <w:t>Backward Evaluation — Reexamines resulting state against preceding state, dependencies, and assumptions.</w:t>
      </w:r>
    </w:p>
    <w:p>
      <w:r>
        <w:t>Reversal — Returns to an earlier candidate or accepted state for reconsideration.</w:t>
      </w:r>
    </w:p>
    <w:p>
      <w:r>
        <w:t>Validation Gate — Checkpoint testing a governance-defined condition.</w:t>
      </w:r>
    </w:p>
    <w:p>
      <w:r>
        <w:t>Three-Gate Stability — Three consecutive eligible comparisons without material change.</w:t>
      </w:r>
    </w:p>
    <w:p>
      <w:r>
        <w:t>Valid Transform — A transformation meeting the three-gate stability condition.</w:t>
      </w:r>
    </w:p>
    <w:p>
      <w:r>
        <w:t>Budget Exhausted — Operational termination when authorized cycle, iteration or compute budgets are exhausted before governance-defined acceptance; not itself a validation verdict.</w:t>
      </w:r>
    </w:p>
    <w:p>
      <w:r>
        <w:t>Invalid Validation — Failure of the validation attempt, including outward divergence; not necessarily invalid content.</w:t>
      </w:r>
    </w:p>
    <w:p>
      <w:r>
        <w:t>Divergence — Growth in material ambiguity or destabilizing dependencies across iterations.</w:t>
      </w:r>
    </w:p>
    <w:p>
      <w:pPr>
        <w:pStyle w:val="Heading2"/>
      </w:pPr>
      <w:r>
        <w:t>Boundaries and human authority</w:t>
      </w:r>
    </w:p>
    <w:p>
      <w:r>
        <w:t>Enough Boundary — Governance-defined or authorized human-established sufficiency condition and stopping controls, including a budget for resolution cycles, iterations and compute. Budget exhaustion alone does not establish acceptance.</w:t>
      </w:r>
    </w:p>
    <w:p>
      <w:r>
        <w:t>Human Request (H) — Human-provided objective that establishes the purpose of generation.</w:t>
      </w:r>
    </w:p>
    <w:p>
      <w:r>
        <w:t>Human Alignment — Fit of a candidate to H, context, and expressed priorities.</w:t>
      </w:r>
    </w:p>
    <w:p>
      <w:r>
        <w:t>Human Alignment Gate — Package-configured checkpoint for alignment.</w:t>
      </w:r>
    </w:p>
    <w:p>
      <w:r>
        <w:t>Governance Gate — Checkpoint enforcing a particular requirement of G.</w:t>
      </w:r>
    </w:p>
    <w:p>
      <w:r>
        <w:t>Human-Directed Pivot — Human-selected or approved change of exploration direction.</w:t>
      </w:r>
    </w:p>
    <w:p>
      <w:r>
        <w:t>Pivot Point — Productive contribution or relationship selected for further exploration.</w:t>
      </w:r>
    </w:p>
    <w:p>
      <w:r>
        <w:t>Governance Revision — Change to G between cycles, not during an active cycle.</w:t>
      </w:r>
    </w:p>
    <w:p>
      <w:pPr>
        <w:pStyle w:val="Heading2"/>
      </w:pPr>
      <w:r>
        <w:t>Governing measures</w:t>
      </w:r>
    </w:p>
    <w:p>
      <w:r>
        <w:t>Cohesion — Connectedness and consistency; generally favors low nondeterminacy.</w:t>
      </w:r>
    </w:p>
    <w:p>
      <w:r>
        <w:t>Validity — Satisfaction of governing conditions; desires χ = 0 while permitting mistakes and corrections.</w:t>
      </w:r>
    </w:p>
    <w:p>
      <w:r>
        <w:t>Spirit — Creative possibility and exploration; favors higher permitted nondeterminacy.</w:t>
      </w:r>
    </w:p>
    <w:p>
      <w:r>
        <w:t>Nondeterminacy — Open possible states, interpretations, or outcomes; governance chooses its measurement.</w:t>
      </w:r>
    </w:p>
    <w:p>
      <w:r>
        <w:t>Koppa (ϟ) — Support a contribution provides toward intended outcome.</w:t>
      </w:r>
    </w:p>
    <w:p>
      <w:r>
        <w:t>Stigma (ϛ) — Observed or felt contribution within the evaluated result.</w:t>
      </w:r>
    </w:p>
    <w:p>
      <w:r>
        <w:t>Chi (χ) — Available variance or nondeterminacy, with a governance-relative target.</w:t>
      </w:r>
    </w:p>
    <w:p>
      <w:r>
        <w:t>Kai — Assumptions inserted to account for unseen contributions.</w:t>
      </w:r>
    </w:p>
    <w:p>
      <w:r>
        <w:t>Measurement Tuple T(t) — For contribution/tag t, T(t) = (ϟ, ϛ, χ, Kai).</w:t>
      </w:r>
    </w:p>
    <w:p>
      <w:r>
        <w:t>Human alignment A_G(Rₙ,H): Governance-defined assessment of the candidate against the request and its relevant context.</w:t>
      </w:r>
    </w:p>
    <w:p>
      <w:r>
        <w:t>Pivot point: A positively selected contribution or relationship that may productively guide further generation.</w:t>
      </w:r>
    </w:p>
    <w:p>
      <w:r>
        <w:t>Selection: Identification of contributions for retention, removal, correction or exploration; distinct from directional comparison.</w:t>
      </w:r>
    </w:p>
    <w:p>
      <w:r>
        <w:t>Adaptation: Modification of generation behavior from feedback while the active governance remains unchanged.</w:t>
      </w:r>
    </w:p>
    <w:p>
      <w:pPr>
        <w:pStyle w:val="Heading2"/>
      </w:pPr>
      <w:r>
        <w:t>Reference-package vocabulary</w:t>
      </w:r>
    </w:p>
    <w:p>
      <w:r>
        <w:t>Slop-to-Value Governance — Optional content evaluation package, not a core architecture requirement.</w:t>
      </w:r>
    </w:p>
    <w:p>
      <w:r>
        <w:t>Value — Meaningful or productive content.</w:t>
      </w:r>
    </w:p>
    <w:p>
      <w:r>
        <w:t>Known — Established or repeated information, neutral until evaluated in context.</w:t>
      </w:r>
    </w:p>
    <w:p>
      <w:r>
        <w:t>Fluff — Unnecessary or nonproductive content.</w:t>
      </w:r>
    </w:p>
    <w:p>
      <w:r>
        <w:t>Supporting Leg — Individually inspectable criterion under a category.</w:t>
      </w:r>
    </w:p>
    <w:p>
      <w:r>
        <w:t>Positive / Negative Selection — Selection of productive pivots / suppression of unnecessary contributions.</w:t>
      </w:r>
    </w:p>
    <w:p>
      <w:r>
        <w:t>Slop — Reference dimension for noise and recoverable substance.</w:t>
      </w:r>
    </w:p>
    <w:p>
      <w:r>
        <w:t>Lattice — The structured network of candidate states, contributions, transformations, and governance-defined relationships traversed by resolution. A mathematical meet/join lattice is optional, not required.</w:t>
      </w:r>
    </w:p>
    <w:p>
      <w:r>
        <w:t>Resolution path — An ordered progression of candidates through the network, including edits, regeneration, branching, reversals, and convergence.</w:t>
      </w:r>
    </w:p>
    <w:p>
      <w:r>
        <w:t>Governance relationship — A relationship defined under G for equivalence, materiality, directional comparison, or acceptance.</w:t>
      </w:r>
    </w:p>
    <w:p>
      <w:r>
        <w:t>Archetypal Dual-State Governance Profile — Injectable governance evaluating candidates against paired Target and Divergence State descriptions.</w:t>
      </w:r>
    </w:p>
    <w:p>
      <w:r>
        <w:t>Target State — Desired expression of a governance-defined dimension.</w:t>
      </w:r>
    </w:p>
    <w:p>
      <w:r>
        <w:t>Divergence State — Expression of movement away from the desired conditions of a governance dimension.</w:t>
      </w:r>
    </w:p>
    <w:p>
      <w:r>
        <w:t>Governance Composition — Explicit combination of packages into one configuration with defined priority, materiality and boundary rules.</w:t>
      </w:r>
    </w:p>
    <w:p>
      <w:r>
        <w:t>Eligible Candidate — Candidate satisfying prerequisite gates, eligible for further comparison and validation.</w:t>
      </w:r>
    </w:p>
    <w:p>
      <w:r>
        <w:t>Retained Candidate — Candidate kept as a comparison or recovery reference, without implying terminal acceptance.</w:t>
      </w:r>
    </w:p>
    <w:p>
      <w:r>
        <w:t>Terminally Accepted Result — Candidate for which VALID TRANSFORM or SUFFICIENT RESOLUTION has been established.</w:t>
      </w:r>
    </w:p>
    <w:p>
      <w:r>
        <w:t>Budget-Exhausted Candidate — Candidate retained after budget stop without terminal acceptance.</w:t>
      </w:r>
    </w:p>
    <w:p>
      <w:r>
        <w:t>Tag (t) — Identifier of a contribution whose measurements are recorded in T(t).</w:t>
      </w:r>
    </w:p>
    <w:sectPr w:rsidR="00FC693F" w:rsidRPr="0006063C" w:rsidSect="00034616">
      <w:footerReference w:type="default" r:id="rId9"/>
      <w:pgSz w:w="12240" w:h="15840"/>
      <w:pgMar w:top="1181"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780"/>
        <w:sz w:val="16"/>
      </w:rPr>
      <w:t>Governance-Driven Resolution Lattice  |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551"/>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65364"/>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1653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360"/>
      <w:contextualSpacing/>
    </w:pPr>
    <w:rPr>
      <w:rFonts w:asciiTheme="majorHAnsi" w:eastAsiaTheme="majorEastAsia" w:hAnsiTheme="majorHAnsi" w:cstheme="majorBidi" w:ascii="Aptos Display" w:hAnsi="Aptos Display"/>
      <w:color w:val="18355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