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8692" w14:textId="3753B503" w:rsidR="00AC42B1" w:rsidRDefault="00AC42B1" w:rsidP="00AC42B1">
      <w:pPr>
        <w:rPr>
          <w:rStyle w:val="Heading1Char"/>
          <w:rFonts w:ascii="Candara" w:hAnsi="Candara" w:cs="Calibri Light"/>
          <w:b/>
          <w:bCs/>
          <w:color w:val="002060"/>
          <w:sz w:val="36"/>
          <w:szCs w:val="36"/>
        </w:rPr>
      </w:pPr>
      <w:bookmarkStart w:id="0" w:name="_Toc203564128"/>
      <w:r w:rsidRPr="004C7307">
        <w:rPr>
          <w:rStyle w:val="Heading1Char"/>
          <w:rFonts w:ascii="Candara" w:hAnsi="Candara" w:cs="Calibri Light"/>
          <w:b/>
          <w:color w:val="002060"/>
          <w:sz w:val="36"/>
          <w:szCs w:val="36"/>
        </w:rPr>
        <w:t xml:space="preserve">Appendix </w:t>
      </w:r>
      <w:proofErr w:type="gramStart"/>
      <w:r w:rsidR="00D1390C">
        <w:rPr>
          <w:rStyle w:val="Heading1Char"/>
          <w:rFonts w:ascii="Candara" w:hAnsi="Candara" w:cs="Calibri Light"/>
          <w:b/>
          <w:bCs/>
          <w:color w:val="002060"/>
          <w:sz w:val="36"/>
          <w:szCs w:val="36"/>
        </w:rPr>
        <w:t>4</w:t>
      </w:r>
      <w:r>
        <w:rPr>
          <w:rStyle w:val="Heading1Char"/>
          <w:rFonts w:ascii="Candara" w:hAnsi="Candara" w:cs="Calibri Light"/>
          <w:b/>
          <w:bCs/>
          <w:color w:val="002060"/>
          <w:sz w:val="36"/>
          <w:szCs w:val="36"/>
        </w:rPr>
        <w:t xml:space="preserve"> </w:t>
      </w:r>
      <w:r w:rsidRPr="004C7307">
        <w:rPr>
          <w:rStyle w:val="Heading1Char"/>
          <w:rFonts w:ascii="Candara" w:hAnsi="Candara" w:cs="Calibri Light"/>
          <w:b/>
          <w:color w:val="002060"/>
          <w:sz w:val="36"/>
          <w:szCs w:val="36"/>
        </w:rPr>
        <w:t xml:space="preserve"> –</w:t>
      </w:r>
      <w:proofErr w:type="gramEnd"/>
      <w:r w:rsidRPr="004C7307">
        <w:rPr>
          <w:rStyle w:val="Heading1Char"/>
          <w:rFonts w:ascii="Candara" w:hAnsi="Candara" w:cs="Calibri Light"/>
          <w:b/>
          <w:color w:val="002060"/>
          <w:sz w:val="36"/>
          <w:szCs w:val="36"/>
        </w:rPr>
        <w:t xml:space="preserve"> Risk Levels (Target, Limit and Tolerance)</w:t>
      </w:r>
      <w:bookmarkEnd w:id="0"/>
    </w:p>
    <w:tbl>
      <w:tblPr>
        <w:tblW w:w="13783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"/>
        <w:gridCol w:w="1975"/>
        <w:gridCol w:w="3309"/>
        <w:gridCol w:w="2827"/>
        <w:gridCol w:w="2827"/>
        <w:gridCol w:w="2827"/>
      </w:tblGrid>
      <w:tr w:rsidR="00AC42B1" w:rsidRPr="001F6FFC" w14:paraId="7588B955" w14:textId="77777777" w:rsidTr="009C025C">
        <w:trPr>
          <w:gridBefore w:val="1"/>
          <w:wBefore w:w="18" w:type="dxa"/>
          <w:trHeight w:val="617"/>
          <w:tblHeader/>
        </w:trPr>
        <w:tc>
          <w:tcPr>
            <w:tcW w:w="1975" w:type="dxa"/>
            <w:shd w:val="clear" w:color="auto" w:fill="156082" w:themeFill="accent1"/>
            <w:vAlign w:val="center"/>
            <w:hideMark/>
          </w:tcPr>
          <w:p w14:paraId="4C42C998" w14:textId="77777777" w:rsidR="00AC42B1" w:rsidRPr="000E1886" w:rsidRDefault="00AC42B1" w:rsidP="009C025C">
            <w:pPr>
              <w:rPr>
                <w:rFonts w:ascii="Candara" w:hAnsi="Candara" w:cs="Calibri Light"/>
                <w:b/>
                <w:color w:val="FFFFFF" w:themeColor="background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/>
                <w:color w:val="FFFFFF" w:themeColor="background1"/>
                <w:sz w:val="22"/>
                <w:szCs w:val="22"/>
              </w:rPr>
              <w:t>Enterprise Risk</w:t>
            </w:r>
          </w:p>
        </w:tc>
        <w:tc>
          <w:tcPr>
            <w:tcW w:w="3309" w:type="dxa"/>
            <w:tcBorders>
              <w:right w:val="single" w:sz="4" w:space="0" w:color="auto"/>
            </w:tcBorders>
            <w:shd w:val="clear" w:color="auto" w:fill="156082" w:themeFill="accent1"/>
            <w:vAlign w:val="center"/>
            <w:hideMark/>
          </w:tcPr>
          <w:p w14:paraId="393CA8FB" w14:textId="77777777" w:rsidR="00AC42B1" w:rsidRPr="000E1886" w:rsidRDefault="00AC42B1" w:rsidP="009C025C">
            <w:pPr>
              <w:rPr>
                <w:rFonts w:ascii="Candara" w:hAnsi="Candara" w:cs="Calibri Light"/>
                <w:b/>
                <w:color w:val="FFFFFF" w:themeColor="background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/>
                <w:color w:val="FFFFFF" w:themeColor="background1"/>
                <w:sz w:val="22"/>
                <w:szCs w:val="22"/>
              </w:rPr>
              <w:t>Key Risk Indicator</w:t>
            </w:r>
          </w:p>
        </w:tc>
        <w:tc>
          <w:tcPr>
            <w:tcW w:w="2827" w:type="dxa"/>
            <w:tcBorders>
              <w:bottom w:val="single" w:sz="2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72B7A1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  <w:t>Target</w:t>
            </w:r>
          </w:p>
        </w:tc>
        <w:tc>
          <w:tcPr>
            <w:tcW w:w="2827" w:type="dxa"/>
            <w:tcBorders>
              <w:bottom w:val="single" w:sz="2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9F7236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  <w:t>Limit</w:t>
            </w:r>
          </w:p>
        </w:tc>
        <w:tc>
          <w:tcPr>
            <w:tcW w:w="2827" w:type="dxa"/>
            <w:tcBorders>
              <w:bottom w:val="single" w:sz="2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91569C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/>
                <w:color w:val="000000" w:themeColor="text1"/>
                <w:sz w:val="22"/>
                <w:szCs w:val="22"/>
              </w:rPr>
              <w:t>Tolerance</w:t>
            </w:r>
          </w:p>
        </w:tc>
      </w:tr>
      <w:tr w:rsidR="00AC42B1" w:rsidRPr="004E29E6" w14:paraId="397F0A99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  <w:hideMark/>
          </w:tcPr>
          <w:p w14:paraId="193AE63F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  <w:hideMark/>
          </w:tcPr>
          <w:p w14:paraId="039FB5D0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Number of Security Breaches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10EA58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9F047DD" w14:textId="6EC3FAA9" w:rsidR="00AC42B1" w:rsidRPr="000E1886" w:rsidRDefault="00316E9D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201C8B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</w:t>
            </w:r>
          </w:p>
        </w:tc>
      </w:tr>
      <w:tr w:rsidR="00AC42B1" w:rsidRPr="004E29E6" w14:paraId="5CE69822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  <w:hideMark/>
          </w:tcPr>
          <w:p w14:paraId="59C666C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  <w:hideMark/>
          </w:tcPr>
          <w:p w14:paraId="2B628A6F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 xml:space="preserve">% of Executive, Senior Managers, Section Managers, and Technical Staff who have participated in security awareness training 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E65947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&gt;80%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9FEB39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60% - 80%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B3D620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&lt;60%</w:t>
            </w:r>
          </w:p>
        </w:tc>
      </w:tr>
      <w:tr w:rsidR="00AC42B1" w:rsidRPr="004E29E6" w14:paraId="3A4122C8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  <w:hideMark/>
          </w:tcPr>
          <w:p w14:paraId="15673848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  <w:hideMark/>
          </w:tcPr>
          <w:p w14:paraId="33E6D329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Percentage of high and critical vulnerabilities remediated within the timeframe during the quarter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393F9DCB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&gt;80%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8953CA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50 – 80%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045A11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&lt;50%</w:t>
            </w:r>
          </w:p>
        </w:tc>
      </w:tr>
      <w:tr w:rsidR="00AC42B1" w:rsidRPr="004E29E6" w14:paraId="7682D597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6FE01437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02747FB7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Network Availability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A543B2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C6E902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99.8% - 99.9%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89C129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99.80%</w:t>
            </w:r>
          </w:p>
        </w:tc>
      </w:tr>
      <w:tr w:rsidR="00AC42B1" w:rsidRPr="004E29E6" w14:paraId="260E7AFF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144909C7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5108DDF3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of network devices not updated with patches within 30 calendar days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C37982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BD4168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1--10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2724D5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</w:p>
        </w:tc>
      </w:tr>
      <w:tr w:rsidR="00AC42B1" w14:paraId="256EB91E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14914183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238AECE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 xml:space="preserve">% of EOL Core network devices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3AEF0C6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9579EC5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&lt;50%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1729FF2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50%</w:t>
            </w:r>
          </w:p>
        </w:tc>
      </w:tr>
      <w:tr w:rsidR="00AC42B1" w14:paraId="1E18DC91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23C08234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2B4FBCC0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 xml:space="preserve">% of EOL Access network devices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D08E842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9C2E748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&lt;6%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52F994C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6%</w:t>
            </w:r>
          </w:p>
        </w:tc>
      </w:tr>
      <w:tr w:rsidR="00AC42B1" w14:paraId="28ED5A68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3AD265FE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349F8768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of EOL Datacom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71A7B38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DF5F665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FFA85D6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</w:p>
        </w:tc>
      </w:tr>
      <w:tr w:rsidR="00AC42B1" w14:paraId="7BE2C044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34B1FE54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2B76BF59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of EOL Optical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5978337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0918C34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ABC7BB7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</w:p>
        </w:tc>
      </w:tr>
      <w:tr w:rsidR="00AC42B1" w14:paraId="1FCABE82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44F6F80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5195D9D1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of EOL Calix Access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CD20662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04BC72E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624E0A4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</w:p>
        </w:tc>
      </w:tr>
      <w:tr w:rsidR="00AC42B1" w:rsidRPr="00651E82" w14:paraId="5CFDA908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3FFB4D47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Cyber Security</w:t>
            </w:r>
          </w:p>
        </w:tc>
        <w:tc>
          <w:tcPr>
            <w:tcW w:w="3309" w:type="dxa"/>
            <w:vAlign w:val="center"/>
          </w:tcPr>
          <w:p w14:paraId="26D084A5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% of devices connected to the Corporate Network not updated with patches within 15 days of the defined time frame.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87D7E5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&lt;15%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164A59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16 - 25 %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D32B2A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&gt;25%</w:t>
            </w:r>
          </w:p>
        </w:tc>
      </w:tr>
      <w:tr w:rsidR="00AC42B1" w:rsidRPr="00651E82" w14:paraId="04895D76" w14:textId="77777777" w:rsidTr="009C025C">
        <w:trPr>
          <w:trHeight w:val="576"/>
        </w:trPr>
        <w:tc>
          <w:tcPr>
            <w:tcW w:w="1993" w:type="dxa"/>
            <w:gridSpan w:val="2"/>
            <w:vAlign w:val="center"/>
          </w:tcPr>
          <w:p w14:paraId="0A4A805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lastRenderedPageBreak/>
              <w:t>Cyber Security</w:t>
            </w:r>
          </w:p>
        </w:tc>
        <w:tc>
          <w:tcPr>
            <w:tcW w:w="3309" w:type="dxa"/>
            <w:vAlign w:val="center"/>
          </w:tcPr>
          <w:p w14:paraId="672B04D7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% of applications End of Support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865878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6A0CC3D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1-20%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6C311A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&gt;20%</w:t>
            </w:r>
          </w:p>
        </w:tc>
      </w:tr>
      <w:tr w:rsidR="00AC42B1" w:rsidRPr="001F6FFC" w14:paraId="143B9E7E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4D31BE9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51E27B48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Contact Centre Service Level (% of calls answered within 40 secs)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8A0577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85%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A494A8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70-84%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8BDCBA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&lt;70%</w:t>
            </w:r>
          </w:p>
        </w:tc>
      </w:tr>
      <w:tr w:rsidR="00AC42B1" w:rsidRPr="001F6FFC" w14:paraId="48CFD352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E3BF7C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6D9E5DDE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First Contact Resolution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F840B2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80%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7ACBA99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70-79%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87F5AEB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&lt;70%</w:t>
            </w:r>
          </w:p>
        </w:tc>
      </w:tr>
      <w:tr w:rsidR="00AC42B1" w:rsidRPr="001F6FFC" w14:paraId="7900DF89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7EAC4A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34865E8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Transactional NPS (New Contact Center Vendors)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1E46B08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&gt;=+30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2EAE88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+22 to +29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8E7359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 +22</w:t>
            </w:r>
          </w:p>
        </w:tc>
      </w:tr>
      <w:tr w:rsidR="00AC42B1" w:rsidRPr="001F6FFC" w14:paraId="501F6D9B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18C959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795471D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Transactional NPS (Repair/Install, Online Customer Care)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37A01BB9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&gt;=+50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454612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+40 to +49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41FB99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 +40</w:t>
            </w:r>
          </w:p>
        </w:tc>
      </w:tr>
      <w:tr w:rsidR="00AC42B1" w:rsidRPr="001F6FFC" w14:paraId="4FAAA858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0BCC36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44A11611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Monthly churn – Prepaid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2D8673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2FD599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2.1 – 2.49%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C61D16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&gt;2.5%</w:t>
            </w:r>
          </w:p>
        </w:tc>
      </w:tr>
      <w:tr w:rsidR="00AC42B1" w:rsidRPr="001F6FFC" w14:paraId="04D152CD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10908AA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329E53A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Monthly Voluntary Churn – Postpaid 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EFBE4B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0.60%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08313E8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0.61 – 1.24%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F9F7ED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&gt;1.25%</w:t>
            </w:r>
          </w:p>
        </w:tc>
      </w:tr>
      <w:tr w:rsidR="00AC42B1" w:rsidRPr="001F6FFC" w14:paraId="3FBC564D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D623665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6BCDBC2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churn – WTTx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EB8CB0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25102A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1.01 – 1.49%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8DF0B2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&gt;1.5%</w:t>
            </w:r>
          </w:p>
        </w:tc>
      </w:tr>
      <w:tr w:rsidR="00AC42B1" w:rsidRPr="001F6FFC" w14:paraId="0FD2C62D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7478E1B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4F237C3F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churn - Copper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F625FF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&lt;=2.5%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C077F5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2.51% - 2.75%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6ACD77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&gt;2.75%</w:t>
            </w:r>
          </w:p>
        </w:tc>
      </w:tr>
      <w:tr w:rsidR="00AC42B1" w:rsidRPr="001F6FFC" w14:paraId="4EBA5C1F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4096CF0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18A4FCB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churn – Enterprise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C7EF369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1.00%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D4CC63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 to 1.5%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55CA88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&gt;1.5%</w:t>
            </w:r>
          </w:p>
        </w:tc>
      </w:tr>
      <w:tr w:rsidR="00AC42B1" w:rsidRPr="001F6FFC" w14:paraId="754AFCAD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E6CEE9F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140B300B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Mean Time to Repair (</w:t>
            </w: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Residential</w:t>
            </w: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C3EC72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≤5 days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F6ADCA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5.1 – 7 days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19F3F4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&gt;7 days</w:t>
            </w:r>
          </w:p>
        </w:tc>
      </w:tr>
      <w:tr w:rsidR="00AC42B1" w:rsidRPr="001F6FFC" w14:paraId="4CBBCA05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8CC650B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344D3BE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Mean Time Install (</w:t>
            </w: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Residential</w:t>
            </w: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200C04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≤2 days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1DD1AB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2.1 – 5 days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A56BDC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&gt;5 days</w:t>
            </w:r>
          </w:p>
        </w:tc>
      </w:tr>
      <w:tr w:rsidR="00AC42B1" w:rsidRPr="001F6FFC" w14:paraId="3866E9AB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B420146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0E37C40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Mean Time to Repair (</w:t>
            </w: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</w:t>
            </w: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C67319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</w:t>
            </w: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</w:t>
            </w: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 xml:space="preserve"> days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6DE5E51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</w:t>
            </w: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 xml:space="preserve">.1 to </w:t>
            </w: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</w:t>
            </w: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 xml:space="preserve"> days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7927388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</w:t>
            </w: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</w:t>
            </w: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 xml:space="preserve"> days</w:t>
            </w:r>
          </w:p>
        </w:tc>
      </w:tr>
      <w:tr w:rsidR="00AC42B1" w:rsidRPr="001F6FFC" w14:paraId="0BDD1DAF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F1F26FA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49272733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Mean Time to Install (</w:t>
            </w: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 xml:space="preserve">Business)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E17BC5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&lt;=2 days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6FA08C19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2.1 to 5 days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D2B941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&gt;5 days</w:t>
            </w:r>
          </w:p>
        </w:tc>
      </w:tr>
      <w:tr w:rsidR="00AC42B1" w:rsidRPr="001F6FFC" w14:paraId="74D005B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CC888A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lastRenderedPageBreak/>
              <w:t>Customer Experience</w:t>
            </w:r>
          </w:p>
        </w:tc>
        <w:tc>
          <w:tcPr>
            <w:tcW w:w="3309" w:type="dxa"/>
            <w:vAlign w:val="center"/>
          </w:tcPr>
          <w:p w14:paraId="742E825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% of dropped calls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374A6AF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&lt;0.8%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CF6643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0.8 - 2.0%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36F6DB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&gt;2.0</w:t>
            </w:r>
          </w:p>
        </w:tc>
      </w:tr>
      <w:tr w:rsidR="00AC42B1" w:rsidRPr="001F6FFC" w14:paraId="046FB5BB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B789605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0C203BED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Call Set up Delay (Secs)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BA79B2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&lt;=2.0 Secs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7F93ABB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1.5 – 2.0 secs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F4EFDE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&lt;2.0 secs</w:t>
            </w:r>
          </w:p>
        </w:tc>
      </w:tr>
      <w:tr w:rsidR="00AC42B1" w:rsidRPr="001F6FFC" w14:paraId="2F78C2A5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C9B717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025DCF36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Network Accessibility (3G and 4G)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3E2F55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&gt;=99%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4EA5F8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98.1% – 98.9%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E5F778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&lt;=98%</w:t>
            </w:r>
          </w:p>
        </w:tc>
      </w:tr>
      <w:tr w:rsidR="00AC42B1" w:rsidRPr="001F6FFC" w14:paraId="40FF17F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46CFF6B4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33382B29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Mean Time to Respond (Rapid Response)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CDCA096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709420F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937E955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2479BD6E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1547B135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7A65FA7E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 xml:space="preserve">Installations orders </w:t>
            </w:r>
            <w:proofErr w:type="gramStart"/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actioned</w:t>
            </w:r>
            <w:proofErr w:type="gramEnd"/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 xml:space="preserve"> as per schedule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3547B57A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B09CCFC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20993D8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0F10D542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6D64F761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55733CF2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Service orders actioned (scheduled)</w:t>
            </w:r>
            <w:r>
              <w:rPr>
                <w:rFonts w:ascii="Candara" w:hAnsi="Candara"/>
                <w:color w:val="000000"/>
                <w:sz w:val="22"/>
                <w:szCs w:val="22"/>
              </w:rPr>
              <w:t xml:space="preserve"> </w:t>
            </w: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within 1 working day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0F601BB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&gt;/=95%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8AD3967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87FEF6B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7F0D11EF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13D20259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7AB0BABD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 xml:space="preserve">Service tickets </w:t>
            </w:r>
            <w:proofErr w:type="gramStart"/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actioned</w:t>
            </w:r>
            <w:proofErr w:type="gramEnd"/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 xml:space="preserve"> as per schedule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8F8DD84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&gt;/=95%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E5710B5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D28BDFA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53429A88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3375F02A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4E8B5C4A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Service tickets (scheduled) within 1 working day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3606556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&gt;/=95%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41C8802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59A808E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6EAC2D8C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3D2F302B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5E584D">
              <w:rPr>
                <w:rFonts w:ascii="Candara" w:hAnsi="Candara" w:cs="Calibri Light"/>
                <w:color w:val="000000"/>
                <w:sz w:val="22"/>
                <w:szCs w:val="22"/>
              </w:rPr>
              <w:t>Customer Experience</w:t>
            </w:r>
          </w:p>
        </w:tc>
        <w:tc>
          <w:tcPr>
            <w:tcW w:w="3309" w:type="dxa"/>
            <w:vAlign w:val="center"/>
          </w:tcPr>
          <w:p w14:paraId="5657B684" w14:textId="77777777" w:rsidR="00AC42B1" w:rsidRPr="003C5B5E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First Contact Resolution Rate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E01B812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&gt;/=80%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2FF8DBE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0ED6799" w14:textId="77777777" w:rsidR="00AC42B1" w:rsidRPr="003C5B5E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3C5B5E">
              <w:rPr>
                <w:rFonts w:ascii="Candara" w:hAnsi="Candara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1F6FFC" w14:paraId="6C13C21F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E5C5350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</w:tcPr>
          <w:p w14:paraId="16F4FCDB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Actual Revenue vs Budgeted Revenue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F951A6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&gt;/=100%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622A7C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&gt;/=90%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A8B464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&lt;90%</w:t>
            </w:r>
          </w:p>
        </w:tc>
      </w:tr>
      <w:tr w:rsidR="00AC42B1" w:rsidRPr="001F6FFC" w14:paraId="117AD580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D0AFF2B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</w:tcPr>
          <w:p w14:paraId="39EC01A4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EBITDA $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E07D56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=/&gt;TT$55m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D93C98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=/&gt;TT$45m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9A747D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&lt;$45m</w:t>
            </w:r>
          </w:p>
        </w:tc>
      </w:tr>
      <w:tr w:rsidR="00AC42B1" w:rsidRPr="001F6FFC" w14:paraId="352B1CF5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05D484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</w:tcPr>
          <w:p w14:paraId="05AB5950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Operating margin (EBITDA/Revenue)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98E136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35%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A8B18E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30%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5464E0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 30%</w:t>
            </w:r>
          </w:p>
        </w:tc>
      </w:tr>
      <w:tr w:rsidR="00AC42B1" w:rsidRPr="001F6FFC" w14:paraId="7A2F3D77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5202BD5E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</w:tcPr>
          <w:p w14:paraId="4E279B3C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Gross margin (Gross profit/Revenue)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07B2FB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75%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0E1DD3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65%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3F146A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 65%</w:t>
            </w:r>
          </w:p>
        </w:tc>
      </w:tr>
      <w:tr w:rsidR="00AC42B1" w:rsidRPr="001F6FFC" w14:paraId="35D6181C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  <w:hideMark/>
          </w:tcPr>
          <w:p w14:paraId="0155FA2B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  <w:hideMark/>
          </w:tcPr>
          <w:p w14:paraId="5A6AE184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Profit margin (Profit after tax/revenue)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15A710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7.4%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5ADEF7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=/&gt; 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CC828E8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 0%</w:t>
            </w:r>
          </w:p>
        </w:tc>
      </w:tr>
      <w:tr w:rsidR="00AC42B1" w:rsidRPr="00F52145" w14:paraId="0D4134CC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7167BD1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lastRenderedPageBreak/>
              <w:t>Revenue Generation</w:t>
            </w:r>
          </w:p>
        </w:tc>
        <w:tc>
          <w:tcPr>
            <w:tcW w:w="3309" w:type="dxa"/>
            <w:vAlign w:val="center"/>
          </w:tcPr>
          <w:p w14:paraId="33CF04A9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Efficiency Ratio – Expenses/Revenue OPEX %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7F29C7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=/&lt;40%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16854B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=/&lt;45%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A87F7FB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&gt;45%</w:t>
            </w:r>
          </w:p>
        </w:tc>
      </w:tr>
      <w:tr w:rsidR="00AC42B1" w:rsidRPr="001F6FFC" w14:paraId="7EF3909E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  <w:hideMark/>
          </w:tcPr>
          <w:p w14:paraId="19933D1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Revenue Generation</w:t>
            </w:r>
          </w:p>
        </w:tc>
        <w:tc>
          <w:tcPr>
            <w:tcW w:w="3309" w:type="dxa"/>
            <w:vAlign w:val="center"/>
            <w:hideMark/>
          </w:tcPr>
          <w:p w14:paraId="409A8F8A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hyperlink r:id="rId6" w:anchor="RANGE!#REF!" w:history="1">
              <w:r w:rsidRPr="000E1886">
                <w:rPr>
                  <w:rFonts w:ascii="Candara" w:hAnsi="Candara" w:cs="Calibri Light"/>
                  <w:sz w:val="22"/>
                  <w:szCs w:val="22"/>
                </w:rPr>
                <w:t xml:space="preserve">% New Sales target achieved (Emerging Services - </w:t>
              </w:r>
              <w:proofErr w:type="spellStart"/>
              <w:r w:rsidRPr="000E1886">
                <w:rPr>
                  <w:rFonts w:ascii="Candara" w:hAnsi="Candara" w:cs="Calibri Light"/>
                  <w:sz w:val="22"/>
                  <w:szCs w:val="22"/>
                </w:rPr>
                <w:t>bSecure</w:t>
              </w:r>
              <w:proofErr w:type="spellEnd"/>
              <w:r w:rsidRPr="000E1886">
                <w:rPr>
                  <w:rFonts w:ascii="Candara" w:hAnsi="Candara" w:cs="Calibri Light"/>
                  <w:sz w:val="22"/>
                  <w:szCs w:val="22"/>
                </w:rPr>
                <w:t xml:space="preserve">, </w:t>
              </w:r>
              <w:proofErr w:type="spellStart"/>
              <w:r w:rsidRPr="000E1886">
                <w:rPr>
                  <w:rFonts w:ascii="Candara" w:hAnsi="Candara" w:cs="Calibri Light"/>
                  <w:sz w:val="22"/>
                  <w:szCs w:val="22"/>
                </w:rPr>
                <w:t>Parlour</w:t>
              </w:r>
              <w:proofErr w:type="spellEnd"/>
              <w:r w:rsidRPr="000E1886">
                <w:rPr>
                  <w:rFonts w:ascii="Candara" w:hAnsi="Candara" w:cs="Calibri Light"/>
                  <w:sz w:val="22"/>
                  <w:szCs w:val="22"/>
                </w:rPr>
                <w:t>, eHealth)</w:t>
              </w:r>
            </w:hyperlink>
          </w:p>
        </w:tc>
        <w:tc>
          <w:tcPr>
            <w:tcW w:w="2827" w:type="dxa"/>
            <w:shd w:val="clear" w:color="auto" w:fill="00B050"/>
            <w:vAlign w:val="center"/>
          </w:tcPr>
          <w:p w14:paraId="04817D39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&gt;100%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6ADB03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90% - 100%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04F581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&lt;90%</w:t>
            </w:r>
          </w:p>
        </w:tc>
      </w:tr>
      <w:tr w:rsidR="00AC42B1" w:rsidRPr="004F58AC" w14:paraId="5E467585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0FFFFE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5809F8FE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Current ratio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1A21692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&gt;/=1</w:t>
            </w: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.2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248A0E7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&gt;</w:t>
            </w: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/=1.00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7518ACC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&lt;1.00</w:t>
            </w:r>
          </w:p>
        </w:tc>
      </w:tr>
      <w:tr w:rsidR="00AC42B1" w:rsidRPr="004F58AC" w14:paraId="5AE1827E" w14:textId="77777777" w:rsidTr="009C025C">
        <w:trPr>
          <w:gridBefore w:val="1"/>
          <w:wBefore w:w="18" w:type="dxa"/>
          <w:trHeight w:val="442"/>
        </w:trPr>
        <w:tc>
          <w:tcPr>
            <w:tcW w:w="1975" w:type="dxa"/>
            <w:vAlign w:val="center"/>
          </w:tcPr>
          <w:p w14:paraId="50175F1C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2BA88F50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Quick Ratio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C8EB73E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&gt;/=1</w:t>
            </w: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.0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A18B4CC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&gt;</w:t>
            </w: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/=</w:t>
            </w: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0DC9F8B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&lt;0.9</w:t>
            </w:r>
          </w:p>
        </w:tc>
      </w:tr>
      <w:tr w:rsidR="00AC42B1" w:rsidRPr="004F58AC" w14:paraId="3B2ADD04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1858044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03A9C05D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Monthly Cash Collections (% of revenue +Vat)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24560B7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&gt;/=80%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A9C1768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&gt;/=75%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13AE333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&lt;75%</w:t>
            </w:r>
          </w:p>
        </w:tc>
      </w:tr>
      <w:tr w:rsidR="00AC42B1" w:rsidRPr="004F58AC" w14:paraId="7ADF833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766DB2D9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69732B36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Foreign exchange availability i.e. monthly forex purchases required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24DA48B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&gt;US$10m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7AE0783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&gt;US$8m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A63346F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&lt;US$8m</w:t>
            </w:r>
          </w:p>
        </w:tc>
      </w:tr>
      <w:tr w:rsidR="00AC42B1" w:rsidRPr="004F58AC" w14:paraId="2A14EA94" w14:textId="77777777" w:rsidTr="009C025C">
        <w:trPr>
          <w:gridBefore w:val="1"/>
          <w:wBefore w:w="18" w:type="dxa"/>
          <w:trHeight w:val="441"/>
        </w:trPr>
        <w:tc>
          <w:tcPr>
            <w:tcW w:w="1975" w:type="dxa"/>
          </w:tcPr>
          <w:p w14:paraId="6BBA4067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6345A4D4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Leverage ratio [Debt/EBITDA]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1D14B23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&lt;/=4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53C2354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&lt;/=6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F242E66" w14:textId="77777777" w:rsidR="00AC42B1" w:rsidRPr="000E1886" w:rsidRDefault="00AC42B1" w:rsidP="009C025C">
            <w:pPr>
              <w:jc w:val="center"/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&gt;6</w:t>
            </w:r>
          </w:p>
        </w:tc>
      </w:tr>
      <w:tr w:rsidR="00AC42B1" w:rsidRPr="004F58AC" w14:paraId="29350E1E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7F77FC6A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391B67BE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Cash Collections (Government) = Enterprise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B67B9F7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&gt;/=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95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5561FB0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&gt;/=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90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40A463A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&lt;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90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</w:tr>
      <w:tr w:rsidR="00AC42B1" w:rsidRPr="004F58AC" w14:paraId="37807C9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736B4FB7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Liquidity</w:t>
            </w:r>
          </w:p>
        </w:tc>
        <w:tc>
          <w:tcPr>
            <w:tcW w:w="3309" w:type="dxa"/>
            <w:vAlign w:val="center"/>
          </w:tcPr>
          <w:p w14:paraId="76DE0FDF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 xml:space="preserve">Cash Collections (Non-Government) = </w:t>
            </w:r>
            <w:r>
              <w:rPr>
                <w:rFonts w:ascii="Candara" w:hAnsi="Candara" w:cstheme="majorHAnsi"/>
                <w:color w:val="000000"/>
                <w:sz w:val="22"/>
                <w:szCs w:val="22"/>
              </w:rPr>
              <w:t>Business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013C989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&gt;/=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95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227596C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>
              <w:rPr>
                <w:rFonts w:ascii="Candara" w:hAnsi="Candara" w:cs="Calibri"/>
                <w:color w:val="000000"/>
                <w:sz w:val="22"/>
                <w:szCs w:val="22"/>
              </w:rPr>
              <w:t>&gt;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/=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90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A9E571B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&lt;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90</w:t>
            </w: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</w:tr>
      <w:tr w:rsidR="00AC42B1" w:rsidRPr="004F58AC" w14:paraId="27C6CFFD" w14:textId="77777777" w:rsidTr="009C025C">
        <w:trPr>
          <w:gridBefore w:val="1"/>
          <w:wBefore w:w="18" w:type="dxa"/>
          <w:trHeight w:val="524"/>
        </w:trPr>
        <w:tc>
          <w:tcPr>
            <w:tcW w:w="1975" w:type="dxa"/>
            <w:vAlign w:val="center"/>
          </w:tcPr>
          <w:p w14:paraId="5738F8F6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3FB3C71D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Network Availability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EEA83E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&gt;99.90%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5D2B24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99.8% - 99.9%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F0ED9C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99.80%</w:t>
            </w:r>
          </w:p>
        </w:tc>
      </w:tr>
      <w:tr w:rsidR="00AC42B1" w:rsidRPr="004F58AC" w14:paraId="453720B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1125E512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75D193F1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proofErr w:type="spellStart"/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Wetside</w:t>
            </w:r>
            <w:proofErr w:type="spellEnd"/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 xml:space="preserve"> Availability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4256B6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A971D9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proofErr w:type="gramStart"/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95%-</w:t>
            </w:r>
            <w:proofErr w:type="gramEnd"/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-99%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0256563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&lt;95%</w:t>
            </w:r>
          </w:p>
        </w:tc>
      </w:tr>
      <w:tr w:rsidR="00AC42B1" w:rsidRPr="004F58AC" w14:paraId="5A9F5C32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6EEF4CBF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6D602FAC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 xml:space="preserve">Availability - Applications/Systems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E11D618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&gt;99.9%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D4F0CE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99.8% -99.9%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CAE6D2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&lt;99.8%</w:t>
            </w:r>
          </w:p>
        </w:tc>
      </w:tr>
      <w:tr w:rsidR="00AC42B1" w:rsidRPr="004F58AC" w14:paraId="23CCAE98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2EA0C5E1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68D408CD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 xml:space="preserve">Availability - Data Centre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96285ED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&gt;99.986%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3B8ACB0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99.982% - 99.986%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EC5C2B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&lt;99.982</w:t>
            </w:r>
          </w:p>
        </w:tc>
      </w:tr>
      <w:tr w:rsidR="00AC42B1" w:rsidRPr="004F58AC" w14:paraId="62A4ABA1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</w:tcPr>
          <w:p w14:paraId="7E52C033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47A47391" w14:textId="77777777" w:rsidR="00AC42B1" w:rsidRPr="000E1886" w:rsidRDefault="00AC42B1" w:rsidP="009C025C">
            <w:pPr>
              <w:rPr>
                <w:rFonts w:ascii="Candara" w:hAnsi="Candara" w:cstheme="majorHAns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theme="majorHAnsi"/>
                <w:color w:val="000000"/>
                <w:sz w:val="22"/>
                <w:szCs w:val="22"/>
              </w:rPr>
              <w:t>Availability - IT Networks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AF2521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&gt;99.9%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D4378EC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99.8% -99.9%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082BD4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&lt;99.8%</w:t>
            </w:r>
          </w:p>
        </w:tc>
      </w:tr>
      <w:tr w:rsidR="00AC42B1" w:rsidRPr="004F58AC" w14:paraId="4D15460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259211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lastRenderedPageBreak/>
              <w:t>Business Interruption</w:t>
            </w:r>
          </w:p>
        </w:tc>
        <w:tc>
          <w:tcPr>
            <w:tcW w:w="3309" w:type="dxa"/>
            <w:vAlign w:val="center"/>
          </w:tcPr>
          <w:p w14:paraId="10586FB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% of Outside Plant incidents resolved within SLA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BC3787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&gt;=90%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04F0EF55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85.1 – 89.9%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A1A46A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&lt;=85%</w:t>
            </w:r>
          </w:p>
        </w:tc>
      </w:tr>
      <w:tr w:rsidR="00AC42B1" w:rsidRPr="004F58AC" w14:paraId="10128191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42CD183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066E6D4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Network Restoration – % of restoration within agreed SLA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563ED3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≥95%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590A42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94% to 90%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8F592EE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&lt;90%</w:t>
            </w:r>
          </w:p>
        </w:tc>
      </w:tr>
      <w:tr w:rsidR="00AC42B1" w:rsidRPr="004F58AC" w14:paraId="5F7AE381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10147A2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1925CEEC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 xml:space="preserve">Percentage of EOL Core network devices- 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A7FE8A2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80C71D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&lt;50%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077D033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50%</w:t>
            </w:r>
          </w:p>
        </w:tc>
      </w:tr>
      <w:tr w:rsidR="00AC42B1" w:rsidRPr="004F58AC" w14:paraId="56FC7713" w14:textId="77777777" w:rsidTr="009C025C">
        <w:trPr>
          <w:gridBefore w:val="1"/>
          <w:wBefore w:w="18" w:type="dxa"/>
          <w:trHeight w:val="248"/>
        </w:trPr>
        <w:tc>
          <w:tcPr>
            <w:tcW w:w="1975" w:type="dxa"/>
            <w:vAlign w:val="center"/>
          </w:tcPr>
          <w:p w14:paraId="0876C7CC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4FDBA138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EOL Datacom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37C4BF7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1F1A46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E3BCB8A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</w:tr>
      <w:tr w:rsidR="00AC42B1" w:rsidRPr="004F58AC" w14:paraId="61F32C72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E70FD2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3FAD890E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EOL Optical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F6FB287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B20DA14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65B26FB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  <w:r>
              <w:rPr>
                <w:rFonts w:ascii="Candara" w:hAnsi="Candara" w:cs="Calibri"/>
                <w:color w:val="000000"/>
                <w:sz w:val="22"/>
                <w:szCs w:val="22"/>
              </w:rPr>
              <w:t>%</w:t>
            </w:r>
          </w:p>
        </w:tc>
      </w:tr>
      <w:tr w:rsidR="00AC42B1" w:rsidRPr="004F58AC" w14:paraId="5631732B" w14:textId="77777777" w:rsidTr="009C025C">
        <w:trPr>
          <w:gridBefore w:val="1"/>
          <w:wBefore w:w="18" w:type="dxa"/>
          <w:trHeight w:val="422"/>
        </w:trPr>
        <w:tc>
          <w:tcPr>
            <w:tcW w:w="1975" w:type="dxa"/>
            <w:vAlign w:val="center"/>
          </w:tcPr>
          <w:p w14:paraId="48FCF345" w14:textId="77777777" w:rsidR="00AC42B1" w:rsidRPr="000E1886" w:rsidRDefault="00AC42B1" w:rsidP="009C025C">
            <w:pPr>
              <w:rPr>
                <w:rFonts w:ascii="Candara" w:hAnsi="Candara" w:cs="Calibri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ndara" w:hAnsi="Candara" w:cs="Calibri Light"/>
                <w:color w:val="000000"/>
                <w:sz w:val="22"/>
                <w:szCs w:val="22"/>
              </w:rPr>
              <w:t>Business Interruption</w:t>
            </w:r>
          </w:p>
        </w:tc>
        <w:tc>
          <w:tcPr>
            <w:tcW w:w="3309" w:type="dxa"/>
            <w:vAlign w:val="center"/>
          </w:tcPr>
          <w:p w14:paraId="2B0D8073" w14:textId="77777777" w:rsidR="00AC42B1" w:rsidRPr="000E1886" w:rsidRDefault="00AC42B1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sz w:val="22"/>
                <w:szCs w:val="22"/>
              </w:rPr>
              <w:t>% EOL Calix Access devices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0058236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2E612191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5F518A3F" w14:textId="77777777" w:rsidR="00AC42B1" w:rsidRPr="000E1886" w:rsidRDefault="00AC42B1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0E1886">
              <w:rPr>
                <w:rFonts w:ascii="Candara" w:hAnsi="Candara" w:cs="Calibri"/>
                <w:color w:val="000000"/>
                <w:sz w:val="22"/>
                <w:szCs w:val="22"/>
              </w:rPr>
              <w:t>&gt;10</w:t>
            </w:r>
          </w:p>
        </w:tc>
      </w:tr>
      <w:tr w:rsidR="00AC42B1" w:rsidRPr="004F58AC" w14:paraId="4C9853B1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21C221F" w14:textId="2E16E974" w:rsidR="00AC42B1" w:rsidRPr="000E1886" w:rsidRDefault="00FC3529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  <w:vAlign w:val="center"/>
          </w:tcPr>
          <w:p w14:paraId="4C55CF82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Percentage of strategic projects that have exceeded budget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3069CAD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FB54248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7BCAF27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&gt;5%</w:t>
            </w:r>
          </w:p>
        </w:tc>
      </w:tr>
      <w:tr w:rsidR="00AC42B1" w:rsidRPr="004F58AC" w14:paraId="0CB083B8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0ACF960E" w14:textId="3264A9DE" w:rsidR="00AC42B1" w:rsidRPr="000E1886" w:rsidRDefault="00FC3529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  <w:vAlign w:val="center"/>
          </w:tcPr>
          <w:p w14:paraId="58BC4803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strategic projects delayed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A238C62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50CD57A7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0A88984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&gt;5%</w:t>
            </w:r>
          </w:p>
        </w:tc>
      </w:tr>
      <w:tr w:rsidR="00AC42B1" w:rsidRPr="004F58AC" w14:paraId="33FF6A7D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AB9D992" w14:textId="7A58BAAE" w:rsidR="00AC42B1" w:rsidRPr="000E1886" w:rsidRDefault="00FC3529" w:rsidP="009C025C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  <w:vAlign w:val="center"/>
          </w:tcPr>
          <w:p w14:paraId="76DCAAED" w14:textId="77777777" w:rsidR="00AC42B1" w:rsidRPr="000E1886" w:rsidRDefault="00AC42B1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strategic projects with change requests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A962DBA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E64F424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21 - 25%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1F6CC10" w14:textId="77777777" w:rsidR="00AC42B1" w:rsidRPr="000E1886" w:rsidRDefault="00AC42B1" w:rsidP="009C025C">
            <w:pPr>
              <w:jc w:val="center"/>
              <w:rPr>
                <w:rFonts w:ascii="Candara" w:hAnsi="Candara" w:cs="Calibri"/>
                <w:color w:val="000000"/>
                <w:sz w:val="22"/>
                <w:szCs w:val="22"/>
              </w:rPr>
            </w:pPr>
            <w:r w:rsidRPr="000E1886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&gt;25%</w:t>
            </w:r>
          </w:p>
        </w:tc>
      </w:tr>
      <w:tr w:rsidR="005A0571" w:rsidRPr="004F58AC" w14:paraId="225E25B1" w14:textId="77777777" w:rsidTr="005A0571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1BFEF934" w14:textId="70ECBB3E" w:rsidR="005A0571" w:rsidRPr="000E1886" w:rsidRDefault="00FC3529" w:rsidP="005A0571">
            <w:pPr>
              <w:rPr>
                <w:rFonts w:ascii="Candara" w:hAnsi="Candara" w:cs="Calibri Light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</w:tcPr>
          <w:p w14:paraId="1FAAF1CC" w14:textId="11309F41" w:rsidR="005A0571" w:rsidRPr="000E1886" w:rsidRDefault="005A0571" w:rsidP="005A0571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 xml:space="preserve">Percentage of Total Benefits across the Portfolio that are "Non-compliant" with regards to benefits </w:t>
            </w:r>
            <w:proofErr w:type="spellStart"/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>realisation</w:t>
            </w:r>
            <w:proofErr w:type="spellEnd"/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 xml:space="preserve"> monitoring (not updated by the line)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C0AD188" w14:textId="0693BDC4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61557F9" w14:textId="6CE3BEE6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3%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BDCD82E" w14:textId="781F6E52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5%</w:t>
            </w:r>
          </w:p>
        </w:tc>
      </w:tr>
      <w:tr w:rsidR="005A0571" w:rsidRPr="004F58AC" w14:paraId="1265AE44" w14:textId="77777777" w:rsidTr="005A0571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7CA002E" w14:textId="3896A226" w:rsidR="005A0571" w:rsidRPr="000E1886" w:rsidRDefault="00FC3529" w:rsidP="005A0571">
            <w:pPr>
              <w:rPr>
                <w:rFonts w:ascii="Candara" w:hAnsi="Candara" w:cs="Calibri Light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</w:tcPr>
          <w:p w14:paraId="2B75ADFE" w14:textId="115A39A3" w:rsidR="005A0571" w:rsidRPr="000E1886" w:rsidRDefault="005A0571" w:rsidP="005A0571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Total Benefit across the Portfolio that have "Realized" their intended benefits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CA0B579" w14:textId="68D827DD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100%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C5ED8BF" w14:textId="477E2EAA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&gt;=80%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DADDF8A" w14:textId="4ED10061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&lt;80%</w:t>
            </w:r>
          </w:p>
        </w:tc>
      </w:tr>
      <w:tr w:rsidR="005A0571" w:rsidRPr="004F58AC" w14:paraId="141FD355" w14:textId="77777777" w:rsidTr="005A0571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FA9256B" w14:textId="2ABD7944" w:rsidR="005A0571" w:rsidRPr="000E1886" w:rsidRDefault="00FC3529" w:rsidP="005A0571">
            <w:pPr>
              <w:rPr>
                <w:rFonts w:ascii="Candara" w:hAnsi="Candara" w:cs="Calibri Light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</w:tcPr>
          <w:p w14:paraId="070D451A" w14:textId="4D61DE75" w:rsidR="005A0571" w:rsidRPr="000E1886" w:rsidRDefault="005A0571" w:rsidP="005A0571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Total Benefits across the Portfolio that have "Planned" benefits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320B802" w14:textId="43087429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93FFC18" w14:textId="365D2A74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21 - 25%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6B6F69D" w14:textId="2F326AA6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&gt;25%</w:t>
            </w:r>
          </w:p>
        </w:tc>
      </w:tr>
      <w:tr w:rsidR="005A0571" w:rsidRPr="004F58AC" w14:paraId="03157B8C" w14:textId="77777777" w:rsidTr="005A0571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0DA44D6A" w14:textId="620BFB2A" w:rsidR="005A0571" w:rsidRPr="000E1886" w:rsidRDefault="00FC3529" w:rsidP="005A0571">
            <w:pPr>
              <w:rPr>
                <w:rFonts w:ascii="Candara" w:hAnsi="Candara" w:cs="Calibri Light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lastRenderedPageBreak/>
              <w:t>Strategic Initiatives Delivery</w:t>
            </w:r>
          </w:p>
        </w:tc>
        <w:tc>
          <w:tcPr>
            <w:tcW w:w="3309" w:type="dxa"/>
          </w:tcPr>
          <w:p w14:paraId="733A975F" w14:textId="3EA009D8" w:rsidR="005A0571" w:rsidRPr="000E1886" w:rsidRDefault="005A0571" w:rsidP="005A0571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Total Benefits across the Portfolio that are "Delayed" in their intended benefits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29CE1CBC" w14:textId="3C323939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633130A3" w14:textId="6DCA0E28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3%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7123BCF8" w14:textId="7B8DF52F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5%</w:t>
            </w:r>
          </w:p>
        </w:tc>
      </w:tr>
      <w:tr w:rsidR="005A0571" w:rsidRPr="004F58AC" w14:paraId="09177BD3" w14:textId="77777777" w:rsidTr="005A0571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00CBFF78" w14:textId="01BFAC55" w:rsidR="005A0571" w:rsidRPr="000E1886" w:rsidRDefault="00FC3529" w:rsidP="005A0571">
            <w:pPr>
              <w:rPr>
                <w:rFonts w:ascii="Candara" w:hAnsi="Candara" w:cs="Calibri Light"/>
                <w:sz w:val="22"/>
                <w:szCs w:val="22"/>
              </w:rPr>
            </w:pPr>
            <w:r w:rsidRPr="00A941F9">
              <w:rPr>
                <w:rFonts w:ascii="Candara" w:hAnsi="Candara" w:cs="Arial"/>
                <w:sz w:val="22"/>
                <w:szCs w:val="22"/>
              </w:rPr>
              <w:t>Strategic Initiatives Delivery</w:t>
            </w:r>
          </w:p>
        </w:tc>
        <w:tc>
          <w:tcPr>
            <w:tcW w:w="3309" w:type="dxa"/>
          </w:tcPr>
          <w:p w14:paraId="2D14501F" w14:textId="1CA6670E" w:rsidR="005A0571" w:rsidRPr="000E1886" w:rsidRDefault="005A0571" w:rsidP="005A0571">
            <w:pPr>
              <w:rPr>
                <w:rFonts w:ascii="Candara" w:hAnsi="Candara" w:cs="Calibri Light"/>
                <w:color w:val="000000"/>
                <w:sz w:val="22"/>
                <w:szCs w:val="22"/>
              </w:rPr>
            </w:pPr>
            <w:r w:rsidRPr="00A157DE">
              <w:rPr>
                <w:rFonts w:ascii="Candara" w:hAnsi="Candara" w:cs="Calibri Light"/>
                <w:color w:val="000000"/>
                <w:sz w:val="22"/>
                <w:szCs w:val="22"/>
              </w:rPr>
              <w:t>Percentage of Total Benefits across the portfolio that are "Behind" in their intended benefits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7F529192" w14:textId="10041891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1%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DA7915A" w14:textId="082F3C56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3%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07FFCF1" w14:textId="172A5190" w:rsidR="005A0571" w:rsidRPr="000E1886" w:rsidRDefault="005A0571" w:rsidP="005A0571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 w:rsidRPr="005A0571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5%</w:t>
            </w:r>
          </w:p>
        </w:tc>
      </w:tr>
      <w:tr w:rsidR="00E127A6" w:rsidRPr="004F58AC" w14:paraId="1E0A4A24" w14:textId="77777777" w:rsidTr="000D2A0E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68A50DBB" w14:textId="51DD6566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1F0CB459" w14:textId="3A7EFFD5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Average Time to Recruit - Executive positions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56F8602" w14:textId="110018FA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&gt;90 days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6274E619" w14:textId="40303C9A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&gt;95days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9AC3216" w14:textId="12DEC234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&gt;100 days</w:t>
            </w:r>
          </w:p>
        </w:tc>
      </w:tr>
      <w:tr w:rsidR="00E127A6" w:rsidRPr="004F58AC" w14:paraId="2731D84F" w14:textId="77777777" w:rsidTr="000D2A0E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0BCAF9E2" w14:textId="00E25A01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04E10C6D" w14:textId="4C1B9E90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Critical Vacancy Rate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48A6635A" w14:textId="1919BD00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23E3E8D" w14:textId="0CAA47DD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11%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18F26C4F" w14:textId="68B5593A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12%</w:t>
            </w:r>
          </w:p>
        </w:tc>
      </w:tr>
      <w:tr w:rsidR="00E127A6" w:rsidRPr="004F58AC" w14:paraId="1BB29805" w14:textId="77777777" w:rsidTr="00CC42B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3E441EB9" w14:textId="2600EF06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565B78BF" w14:textId="4E961CB3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Backfill Vacancy Rate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0E34138D" w14:textId="470949EC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7EDECBBB" w14:textId="3DEE8ED5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8%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43AB806" w14:textId="4DEBA559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10%</w:t>
            </w:r>
          </w:p>
        </w:tc>
      </w:tr>
      <w:tr w:rsidR="00E127A6" w:rsidRPr="004F58AC" w14:paraId="7263D09A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D7EC97D" w14:textId="17A67101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740499CC" w14:textId="1C82313E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Voluntary Turnover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F8D1BB2" w14:textId="45011239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1.2%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136C6DC8" w14:textId="0678702C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1.32%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41BC5DB5" w14:textId="5BFBC120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1.45%</w:t>
            </w:r>
          </w:p>
        </w:tc>
      </w:tr>
      <w:tr w:rsidR="00E127A6" w:rsidRPr="004F58AC" w14:paraId="1274B9A2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7A469AB4" w14:textId="279CB955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01A9E7DA" w14:textId="1046DDF9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% of employees who completed mandatory training programs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6E303E6E" w14:textId="67B95A8B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90%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4BD7F08E" w14:textId="64DB8CA3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80%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363460DC" w14:textId="3B875A42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75%</w:t>
            </w:r>
          </w:p>
        </w:tc>
      </w:tr>
      <w:tr w:rsidR="00E127A6" w:rsidRPr="004F58AC" w14:paraId="0378A483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230229EF" w14:textId="7239A80D" w:rsidR="00E127A6" w:rsidRPr="000E028D" w:rsidRDefault="000E028D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Resource Capacity and Capability</w:t>
            </w:r>
          </w:p>
        </w:tc>
        <w:tc>
          <w:tcPr>
            <w:tcW w:w="3309" w:type="dxa"/>
            <w:vAlign w:val="center"/>
          </w:tcPr>
          <w:p w14:paraId="250F8480" w14:textId="16ECD98B" w:rsidR="00E127A6" w:rsidRPr="000E028D" w:rsidRDefault="00E127A6" w:rsidP="00E127A6">
            <w:pPr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Consultancy Dependency Ratio - % of workforce made up of consultants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5F5AF1B3" w14:textId="33AC8D18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5%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EF739A4" w14:textId="0B591617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5 - 10%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2D6B2BB6" w14:textId="6D22FAC6" w:rsidR="00E127A6" w:rsidRPr="000E028D" w:rsidRDefault="00E127A6" w:rsidP="00E127A6">
            <w:pPr>
              <w:jc w:val="center"/>
              <w:rPr>
                <w:rFonts w:ascii="Candara" w:hAnsi="Candara" w:cs="Arial"/>
                <w:sz w:val="22"/>
                <w:szCs w:val="22"/>
              </w:rPr>
            </w:pPr>
            <w:r w:rsidRPr="000E028D">
              <w:rPr>
                <w:rFonts w:ascii="Candara" w:hAnsi="Candara" w:cs="Arial"/>
                <w:sz w:val="22"/>
                <w:szCs w:val="22"/>
              </w:rPr>
              <w:t>&gt;10%</w:t>
            </w:r>
          </w:p>
        </w:tc>
      </w:tr>
      <w:tr w:rsidR="00AC42B1" w:rsidRPr="004F58AC" w14:paraId="5770C7A6" w14:textId="77777777" w:rsidTr="009C025C">
        <w:trPr>
          <w:gridBefore w:val="1"/>
          <w:wBefore w:w="18" w:type="dxa"/>
          <w:trHeight w:val="576"/>
        </w:trPr>
        <w:tc>
          <w:tcPr>
            <w:tcW w:w="1975" w:type="dxa"/>
            <w:vAlign w:val="center"/>
          </w:tcPr>
          <w:p w14:paraId="464BDC54" w14:textId="6EFF7E6B" w:rsidR="00AC42B1" w:rsidRPr="000E1886" w:rsidRDefault="000E028D" w:rsidP="009C025C">
            <w:pPr>
              <w:rPr>
                <w:rFonts w:ascii="Candara" w:hAnsi="Candara" w:cs="Calibri Light"/>
                <w:sz w:val="22"/>
                <w:szCs w:val="22"/>
              </w:rPr>
            </w:pPr>
            <w:r>
              <w:rPr>
                <w:rFonts w:ascii="Candara" w:hAnsi="Candara" w:cs="Calibri Light"/>
                <w:sz w:val="22"/>
                <w:szCs w:val="22"/>
              </w:rPr>
              <w:t>Accountability</w:t>
            </w:r>
          </w:p>
        </w:tc>
        <w:tc>
          <w:tcPr>
            <w:tcW w:w="3309" w:type="dxa"/>
            <w:vAlign w:val="bottom"/>
          </w:tcPr>
          <w:p w14:paraId="675058D5" w14:textId="406D145F" w:rsidR="00AC42B1" w:rsidRPr="005D48CE" w:rsidRDefault="005D48CE" w:rsidP="009C025C">
            <w:pPr>
              <w:rPr>
                <w:color w:val="000000"/>
                <w:sz w:val="22"/>
                <w:szCs w:val="22"/>
              </w:rPr>
            </w:pPr>
            <w:r w:rsidRPr="005D48CE">
              <w:rPr>
                <w:rFonts w:ascii="Candara" w:hAnsi="Candara" w:cs="Arial"/>
                <w:sz w:val="22"/>
                <w:szCs w:val="22"/>
              </w:rPr>
              <w:t>% of employees without finalized and approved goals</w:t>
            </w:r>
          </w:p>
        </w:tc>
        <w:tc>
          <w:tcPr>
            <w:tcW w:w="2827" w:type="dxa"/>
            <w:shd w:val="clear" w:color="auto" w:fill="00B050"/>
            <w:vAlign w:val="center"/>
          </w:tcPr>
          <w:p w14:paraId="106CC6D0" w14:textId="0896CEC9" w:rsidR="00AC42B1" w:rsidRPr="00E47DAE" w:rsidRDefault="007F3B57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&lt;15</w:t>
            </w:r>
            <w:r w:rsidR="00AC42B1" w:rsidRPr="00E47DAE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%</w:t>
            </w:r>
          </w:p>
        </w:tc>
        <w:tc>
          <w:tcPr>
            <w:tcW w:w="2827" w:type="dxa"/>
            <w:shd w:val="clear" w:color="auto" w:fill="FFFF00"/>
            <w:vAlign w:val="center"/>
          </w:tcPr>
          <w:p w14:paraId="3813CE76" w14:textId="3DD8F617" w:rsidR="00C72B8B" w:rsidRPr="00E47DAE" w:rsidRDefault="00C72B8B" w:rsidP="00C72B8B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&gt;15</w:t>
            </w:r>
            <w:r w:rsidR="007F3B57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%</w:t>
            </w: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 xml:space="preserve"> - 25%</w:t>
            </w:r>
          </w:p>
        </w:tc>
        <w:tc>
          <w:tcPr>
            <w:tcW w:w="2827" w:type="dxa"/>
            <w:shd w:val="clear" w:color="auto" w:fill="FF0000"/>
            <w:vAlign w:val="center"/>
          </w:tcPr>
          <w:p w14:paraId="6AE467D8" w14:textId="421F24BC" w:rsidR="00AC42B1" w:rsidRPr="00E47DAE" w:rsidRDefault="00C72B8B" w:rsidP="009C025C">
            <w:pPr>
              <w:jc w:val="center"/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&gt;25</w:t>
            </w:r>
            <w:r w:rsidR="00AC42B1" w:rsidRPr="00E47DAE">
              <w:rPr>
                <w:rFonts w:ascii="Candara" w:hAnsi="Candara" w:cs="Calibri Light"/>
                <w:bCs/>
                <w:color w:val="000000" w:themeColor="text1"/>
                <w:sz w:val="22"/>
                <w:szCs w:val="22"/>
              </w:rPr>
              <w:t>%</w:t>
            </w:r>
          </w:p>
        </w:tc>
      </w:tr>
    </w:tbl>
    <w:p w14:paraId="2CDE702A" w14:textId="77777777" w:rsidR="00AC42B1" w:rsidRDefault="00AC42B1"/>
    <w:sectPr w:rsidR="00AC42B1" w:rsidSect="00AC42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90D7" w14:textId="77777777" w:rsidR="003F7CBA" w:rsidRDefault="003F7CBA" w:rsidP="001177AB">
      <w:r>
        <w:separator/>
      </w:r>
    </w:p>
  </w:endnote>
  <w:endnote w:type="continuationSeparator" w:id="0">
    <w:p w14:paraId="07DB1AB9" w14:textId="77777777" w:rsidR="003F7CBA" w:rsidRDefault="003F7CBA" w:rsidP="00117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9EE7" w14:textId="77777777" w:rsidR="001177AB" w:rsidRDefault="00117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AEFFE" w14:textId="77777777" w:rsidR="001177AB" w:rsidRDefault="00117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F9AB" w14:textId="77777777" w:rsidR="001177AB" w:rsidRDefault="00117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48C3B" w14:textId="77777777" w:rsidR="003F7CBA" w:rsidRDefault="003F7CBA" w:rsidP="001177AB">
      <w:r>
        <w:separator/>
      </w:r>
    </w:p>
  </w:footnote>
  <w:footnote w:type="continuationSeparator" w:id="0">
    <w:p w14:paraId="15DAF1DC" w14:textId="77777777" w:rsidR="003F7CBA" w:rsidRDefault="003F7CBA" w:rsidP="00117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05C4E" w14:textId="77777777" w:rsidR="001177AB" w:rsidRDefault="00117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77BC" w14:textId="77777777" w:rsidR="001177AB" w:rsidRDefault="001177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3BEE" w14:textId="77777777" w:rsidR="001177AB" w:rsidRDefault="001177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B1"/>
    <w:rsid w:val="000E028D"/>
    <w:rsid w:val="001177AB"/>
    <w:rsid w:val="001A3878"/>
    <w:rsid w:val="001E4540"/>
    <w:rsid w:val="00316E9D"/>
    <w:rsid w:val="003546F5"/>
    <w:rsid w:val="0035560E"/>
    <w:rsid w:val="003A3059"/>
    <w:rsid w:val="003F7CBA"/>
    <w:rsid w:val="005328E7"/>
    <w:rsid w:val="005A0571"/>
    <w:rsid w:val="005D48CE"/>
    <w:rsid w:val="007F3B57"/>
    <w:rsid w:val="008A3F88"/>
    <w:rsid w:val="0095137F"/>
    <w:rsid w:val="00A157DE"/>
    <w:rsid w:val="00AC42B1"/>
    <w:rsid w:val="00AD7680"/>
    <w:rsid w:val="00B0384B"/>
    <w:rsid w:val="00BB4D87"/>
    <w:rsid w:val="00C72B8B"/>
    <w:rsid w:val="00CC42BC"/>
    <w:rsid w:val="00D1390C"/>
    <w:rsid w:val="00D76668"/>
    <w:rsid w:val="00E127A6"/>
    <w:rsid w:val="00EF575C"/>
    <w:rsid w:val="00FC3529"/>
    <w:rsid w:val="00FC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CC9F3"/>
  <w15:chartTrackingRefBased/>
  <w15:docId w15:val="{C4C0684B-0BA7-4972-B5C9-E790A860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2B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2B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2B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2B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2B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2B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2B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2B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2B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2B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2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2B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2B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2B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4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2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7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7A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77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7A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88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eharris1\Desktop\Combined%20Key%20Risk%20Indicators%20Q3%202023%20v1.xlsx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977</Words>
  <Characters>5540</Characters>
  <Application>Microsoft Office Word</Application>
  <DocSecurity>0</DocSecurity>
  <Lines>554</Lines>
  <Paragraphs>434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Harrison</dc:creator>
  <cp:keywords/>
  <dc:description/>
  <cp:lastModifiedBy>Chad Simeon</cp:lastModifiedBy>
  <cp:revision>4</cp:revision>
  <dcterms:created xsi:type="dcterms:W3CDTF">2026-05-19T16:46:00Z</dcterms:created>
  <dcterms:modified xsi:type="dcterms:W3CDTF">2026-05-19T19:41:00Z</dcterms:modified>
</cp:coreProperties>
</file>