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Pharmacokinetics — Study XYZ-101</w:t>
      </w:r>
    </w:p>
    <w:p>
      <w:r>
        <w:rPr>
          <w:b/>
        </w:rPr>
        <w:t>Study ID: XYZ-101</w:t>
      </w:r>
      <w:r>
        <w:br/>
        <w:t>Compound: XYZ-001 (GVR-12345)</w:t>
      </w:r>
    </w:p>
    <w:p>
      <w:pPr>
        <w:pStyle w:val="Heading2"/>
      </w:pPr>
      <w:r>
        <w:t>Study Design</w:t>
      </w:r>
    </w:p>
    <w:p>
      <w:r>
        <w:t>XYZ-101 was a Phase 1 dose-escalation study of oral XYZ-001 in 36 patients with advanced solid tumors expressing Kinase Z. Six dose cohorts (25, 50, 100, 200, 300, and 400 mg QD) were evaluated using a 3+3 design with intensive PK sampling on Day 1 and Day 28.</w:t>
      </w:r>
    </w:p>
    <w:p>
      <w:pPr>
        <w:pStyle w:val="Heading2"/>
      </w:pPr>
      <w:r>
        <w:t>Single-Dose Pharmacokinetics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 (mean, 200 mg QD)</w:t>
            </w:r>
          </w:p>
        </w:tc>
        <w:tc>
          <w:tcPr>
            <w:tcW w:type="dxa" w:w="4320"/>
          </w:tcPr>
          <w:p>
            <w:r>
              <w:t>Day 1 Value</w:t>
            </w:r>
          </w:p>
        </w:tc>
      </w:tr>
      <w:tr>
        <w:tc>
          <w:tcPr>
            <w:tcW w:type="dxa" w:w="4320"/>
          </w:tcPr>
          <w:p>
            <w:r>
              <w:t>Cmax</w:t>
            </w:r>
          </w:p>
        </w:tc>
        <w:tc>
          <w:tcPr>
            <w:tcW w:type="dxa" w:w="4320"/>
          </w:tcPr>
          <w:p>
            <w:r>
              <w:t>612 ng/mL</w:t>
            </w:r>
          </w:p>
        </w:tc>
      </w:tr>
      <w:tr>
        <w:tc>
          <w:tcPr>
            <w:tcW w:type="dxa" w:w="4320"/>
          </w:tcPr>
          <w:p>
            <w:r>
              <w:t>Tmax</w:t>
            </w:r>
          </w:p>
        </w:tc>
        <w:tc>
          <w:tcPr>
            <w:tcW w:type="dxa" w:w="4320"/>
          </w:tcPr>
          <w:p>
            <w:r>
              <w:t>2.5 h</w:t>
            </w:r>
          </w:p>
        </w:tc>
      </w:tr>
      <w:tr>
        <w:tc>
          <w:tcPr>
            <w:tcW w:type="dxa" w:w="4320"/>
          </w:tcPr>
          <w:p>
            <w:r>
              <w:t>AUC0-24</w:t>
            </w:r>
          </w:p>
        </w:tc>
        <w:tc>
          <w:tcPr>
            <w:tcW w:type="dxa" w:w="4320"/>
          </w:tcPr>
          <w:p>
            <w:r>
              <w:t>5,400 ng·h/mL</w:t>
            </w:r>
          </w:p>
        </w:tc>
      </w:tr>
      <w:tr>
        <w:tc>
          <w:tcPr>
            <w:tcW w:type="dxa" w:w="4320"/>
          </w:tcPr>
          <w:p>
            <w:r>
              <w:t>AUC0-inf</w:t>
            </w:r>
          </w:p>
        </w:tc>
        <w:tc>
          <w:tcPr>
            <w:tcW w:type="dxa" w:w="4320"/>
          </w:tcPr>
          <w:p>
            <w:r>
              <w:t>7,800 ng·h/mL</w:t>
            </w:r>
          </w:p>
        </w:tc>
      </w:tr>
      <w:tr>
        <w:tc>
          <w:tcPr>
            <w:tcW w:type="dxa" w:w="4320"/>
          </w:tcPr>
          <w:p>
            <w:r>
              <w:t>Apparent t1/2</w:t>
            </w:r>
          </w:p>
        </w:tc>
        <w:tc>
          <w:tcPr>
            <w:tcW w:type="dxa" w:w="4320"/>
          </w:tcPr>
          <w:p>
            <w:r>
              <w:t>16.2 h</w:t>
            </w:r>
          </w:p>
        </w:tc>
      </w:tr>
      <w:tr>
        <w:tc>
          <w:tcPr>
            <w:tcW w:type="dxa" w:w="4320"/>
          </w:tcPr>
          <w:p>
            <w:r>
              <w:t>Apparent CL/F</w:t>
            </w:r>
          </w:p>
        </w:tc>
        <w:tc>
          <w:tcPr>
            <w:tcW w:type="dxa" w:w="4320"/>
          </w:tcPr>
          <w:p>
            <w:r>
              <w:t>25.6 L/h</w:t>
            </w:r>
          </w:p>
        </w:tc>
      </w:tr>
    </w:tbl>
    <w:p>
      <w:pPr>
        <w:pStyle w:val="Heading2"/>
      </w:pPr>
      <w:r>
        <w:t>Steady-State Pharmacokinetics</w:t>
      </w:r>
    </w:p>
    <w:p>
      <w:r>
        <w:t>Steady-state was reached by Day 7 of QD dosing. The accumulation ratio (Day 28 AUC0-24 / Day 1 AUC0-24) was 1.6, consistent with the observed half-life. Cmax and AUC at steady state increased approximately dose-proportionally from 25 to 300 mg, with slight overproportionality observed at 400 mg.</w:t>
      </w:r>
    </w:p>
    <w:p>
      <w:pPr>
        <w:pStyle w:val="Heading2"/>
      </w:pPr>
      <w:r>
        <w:t>Effect of Food</w:t>
      </w:r>
    </w:p>
    <w:p>
      <w:r>
        <w:t>A subset (n=12) crossed over to evaluate the effect of a high-fat meal on a 200 mg dose. The high-fat meal increased Cmax by approximately 35% and AUC by approximately 22%. Patients were instructed to take XYZ-001 at least 2 hours before or after meals.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