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Safety Summary — Studies XYZ-101 and XYZ-102</w:t>
      </w:r>
    </w:p>
    <w:p>
      <w:r>
        <w:rPr>
          <w:b/>
        </w:rPr>
        <w:t>Study ID: XYZ-101 / XYZ-102</w:t>
      </w:r>
      <w:r>
        <w:br/>
        <w:t>Compound: XYZ-001 (GVR-12345)</w:t>
      </w:r>
    </w:p>
    <w:p>
      <w:pPr>
        <w:pStyle w:val="Heading2"/>
      </w:pPr>
      <w:r>
        <w:t>Patient Exposure</w:t>
      </w:r>
    </w:p>
    <w:p>
      <w:r>
        <w:t>As of the data cutoff (March 2026), 120 patients had received at least one dose of XYZ-001 across studies XYZ-101 (n=36) and XYZ-102 (n=84). Median duration of treatment was 18.4 weeks (range 0.5–62.0 weeks). Sixty-two patients (52%) received treatment for ≥12 weeks.</w:t>
      </w:r>
    </w:p>
    <w:p>
      <w:pPr>
        <w:pStyle w:val="Heading2"/>
      </w:pPr>
      <w:r>
        <w:t>Adverse Events Overview</w:t>
      </w:r>
    </w:p>
    <w:p>
      <w:r>
        <w:t>All 120 patients (100%) experienced at least one treatment-emergent adverse event (TEAE). The most frequent TEAEs (≥20% incidence) were diarrhea (58%), fatigue (44%), rash (38%), nausea (29%), and AST/ALT elevation (24%). Grade 3-4 TEAEs occurred in 41 patients (34%); the most common were ALT increased (8%), diarrhea (6%), and rash (5%).</w:t>
      </w:r>
    </w:p>
    <w:p>
      <w:pPr>
        <w:pStyle w:val="Heading2"/>
      </w:pPr>
      <w:r>
        <w:t>Serious Adverse Events</w:t>
      </w:r>
    </w:p>
    <w:p>
      <w:r>
        <w:t>Twenty-four patients (20%) experienced at least one serious adverse event (SAE). The most common SAEs were pneumonitis (n=4, 3%), pulmonary embolism (n=3, 2.5%), and dehydration (n=3, 2.5%). Four cases of pneumonitis included one grade 3 event leading to permanent discontinuation; the remaining three resolved with corticosteroid therapy.</w:t>
      </w:r>
    </w:p>
    <w:p>
      <w:pPr>
        <w:pStyle w:val="Heading2"/>
      </w:pPr>
      <w:r>
        <w:t>Dose Modifications and Discontinuations</w:t>
      </w:r>
    </w:p>
    <w:p>
      <w:r>
        <w:t>Dose interruptions occurred in 47 patients (39%), most commonly for diarrhea (n=14), rash (n=11), or ALT elevation (n=9). Twelve patients (10%) permanently discontinued XYZ-001 due to a TEAE, including pneumonitis (n=2), ALT increased (n=2), rash (n=2), and individual events of pulmonary embolism, fatigue, and cardiac failure (each n=1).</w:t>
      </w:r>
    </w:p>
    <w:p>
      <w:pPr>
        <w:pStyle w:val="Heading2"/>
      </w:pPr>
      <w:r>
        <w:t>Deaths</w:t>
      </w:r>
    </w:p>
    <w:p>
      <w:r>
        <w:t>Eight patients died on study or within 30 days of the last XYZ-001 dose. Seven deaths were attributed to disease progression. One death (sudden cardiac death in a patient with prior cardiac history) was classified as possibly related to XYZ-001 by the investigator.</w:t>
      </w:r>
    </w:p>
    <w:p>
      <w:pPr>
        <w:pStyle w:val="Heading2"/>
      </w:pPr>
      <w:r>
        <w:t>Preliminary Efficacy</w:t>
      </w:r>
    </w:p>
    <w:p>
      <w:r>
        <w:t>Among 78 patients evaluable for response in XYZ-102, the objective response rate (ORR) was 31% (24/78, 95% CI: 21-43). Median duration of response was 7.2 months (95% CI: 5.8-not reached). Median progression-free survival was 5.1 months (95% CI: 4.2-6.8).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