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CMC Summary — XYZ-001</w:t>
      </w:r>
    </w:p>
    <w:p>
      <w:pPr>
        <w:pStyle w:val="Heading2"/>
      </w:pPr>
      <w:r>
        <w:t>Chemical Identity</w:t>
      </w:r>
    </w:p>
    <w:p>
      <w:r>
        <w:t>XYZ-001 is a small-molecule selective inhibitor of Kinase Z, developed as an oral therapy for solid tumors expressing Kinase Z. Chemical name (synthetic): 4-[(3-chloro-4-fluorophenyl)amino]-7-methoxy-6-(piperidin-4-yloxy)quinazoline. Molecular formula: C20H21ClFN5O3. Molecular weight: 433.86 g/mol.</w:t>
      </w:r>
    </w:p>
    <w:p>
      <w:pPr>
        <w:pStyle w:val="Heading2"/>
      </w:pPr>
      <w:r>
        <w:t>Physicochemical Properties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Property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Appearance</w:t>
            </w:r>
          </w:p>
        </w:tc>
        <w:tc>
          <w:tcPr>
            <w:tcW w:type="dxa" w:w="4320"/>
          </w:tcPr>
          <w:p>
            <w:r>
              <w:t>White to off-white crystalline powder</w:t>
            </w:r>
          </w:p>
        </w:tc>
      </w:tr>
      <w:tr>
        <w:tc>
          <w:tcPr>
            <w:tcW w:type="dxa" w:w="4320"/>
          </w:tcPr>
          <w:p>
            <w:r>
              <w:t>Solubility (water, 25 °C)</w:t>
            </w:r>
          </w:p>
        </w:tc>
        <w:tc>
          <w:tcPr>
            <w:tcW w:type="dxa" w:w="4320"/>
          </w:tcPr>
          <w:p>
            <w:r>
              <w:t>0.12 mg/mL</w:t>
            </w:r>
          </w:p>
        </w:tc>
      </w:tr>
      <w:tr>
        <w:tc>
          <w:tcPr>
            <w:tcW w:type="dxa" w:w="4320"/>
          </w:tcPr>
          <w:p>
            <w:r>
              <w:t>Solubility (DMSO)</w:t>
            </w:r>
          </w:p>
        </w:tc>
        <w:tc>
          <w:tcPr>
            <w:tcW w:type="dxa" w:w="4320"/>
          </w:tcPr>
          <w:p>
            <w:r>
              <w:t>&gt;100 mg/mL</w:t>
            </w:r>
          </w:p>
        </w:tc>
      </w:tr>
      <w:tr>
        <w:tc>
          <w:tcPr>
            <w:tcW w:type="dxa" w:w="4320"/>
          </w:tcPr>
          <w:p>
            <w:r>
              <w:t>Log P</w:t>
            </w:r>
          </w:p>
        </w:tc>
        <w:tc>
          <w:tcPr>
            <w:tcW w:type="dxa" w:w="4320"/>
          </w:tcPr>
          <w:p>
            <w:r>
              <w:t>3.4</w:t>
            </w:r>
          </w:p>
        </w:tc>
      </w:tr>
      <w:tr>
        <w:tc>
          <w:tcPr>
            <w:tcW w:type="dxa" w:w="4320"/>
          </w:tcPr>
          <w:p>
            <w:r>
              <w:t>pKa</w:t>
            </w:r>
          </w:p>
        </w:tc>
        <w:tc>
          <w:tcPr>
            <w:tcW w:type="dxa" w:w="4320"/>
          </w:tcPr>
          <w:p>
            <w:r>
              <w:t>8.1</w:t>
            </w:r>
          </w:p>
        </w:tc>
      </w:tr>
      <w:tr>
        <w:tc>
          <w:tcPr>
            <w:tcW w:type="dxa" w:w="4320"/>
          </w:tcPr>
          <w:p>
            <w:r>
              <w:t>Polymorphic forms</w:t>
            </w:r>
          </w:p>
        </w:tc>
        <w:tc>
          <w:tcPr>
            <w:tcW w:type="dxa" w:w="4320"/>
          </w:tcPr>
          <w:p>
            <w:r>
              <w:t>Form I (anhydrous) used for clinical material</w:t>
            </w:r>
          </w:p>
        </w:tc>
      </w:tr>
    </w:tbl>
    <w:p>
      <w:pPr>
        <w:pStyle w:val="Heading2"/>
      </w:pPr>
      <w:r>
        <w:t>Formulation</w:t>
      </w:r>
    </w:p>
    <w:p>
      <w:r>
        <w:t>Clinical formulation is a film-coated immediate-release tablet containing 25 mg or 100 mg of XYZ-001 as the free base. Excipients include microcrystalline cellulose, lactose monohydrate, croscarmellose sodium, magnesium stearate, and a standard Opadry coating. Tablets are stored at 15-25 °C in HDPE bottles with desiccant.</w:t>
      </w:r>
    </w:p>
    <w:p>
      <w:pPr>
        <w:pStyle w:val="Heading2"/>
      </w:pPr>
      <w:r>
        <w:t>Stability</w:t>
      </w:r>
    </w:p>
    <w:p>
      <w:r>
        <w:t>Long-term stability data through 24 months at 25 °C / 60% RH supports the current shelf life of 24 months. No significant degradation or impurity growth has been observed.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