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Primary Pharmacology of XYZ-001</w:t>
      </w:r>
    </w:p>
    <w:p>
      <w:r>
        <w:rPr>
          <w:b/>
        </w:rPr>
        <w:t>Study ID: XYZ-NC-001</w:t>
      </w:r>
      <w:r>
        <w:br/>
        <w:t>Compound: XYZ-001 (GVR-12345)</w:t>
      </w:r>
    </w:p>
    <w:p>
      <w:pPr>
        <w:pStyle w:val="Heading2"/>
      </w:pPr>
      <w:r>
        <w:t>Mechanism of Action</w:t>
      </w:r>
    </w:p>
    <w:p>
      <w:r>
        <w:t>XYZ-001 is a reversible ATP-competitive inhibitor of Kinase Z. In a panel of 468 human kinases, XYZ-001 inhibited Kinase Z with an IC50 of 3.2 nM, with &gt;100-fold selectivity over the closest off-target kinase (Kinase Y, IC50 410 nM).</w:t>
      </w:r>
    </w:p>
    <w:p>
      <w:pPr>
        <w:pStyle w:val="Heading2"/>
      </w:pPr>
      <w:r>
        <w:t>In Vitro Efficacy</w:t>
      </w:r>
    </w:p>
    <w:p>
      <w:r>
        <w:t>XYZ-001 inhibited proliferation of Kinase Z-amplified tumor cell lines (HCC-827, NCI-H1975 surrogates) with mean IC50 of 18 nM. In wild-type lines lacking Kinase Z amplification, IC50 was &gt;5,000 nM, supporting target-driven antiproliferative activity.</w:t>
      </w:r>
    </w:p>
    <w:p>
      <w:pPr>
        <w:pStyle w:val="Heading2"/>
      </w:pPr>
      <w:r>
        <w:t>In Vivo Efficacy</w:t>
      </w:r>
    </w:p>
    <w:p>
      <w:r>
        <w:t>In a mouse xenograft model of Kinase Z-amplified tumor (mean tumor volume 200 mm³ at randomization), oral XYZ-001 at 10, 30, and 100 mg/kg QD for 21 days produced tumor growth inhibition (TGI) of 42%, 78%, and 96% respectively versus vehicle (n=10 per group, p&lt;0.001 for 30 and 100 mg/kg doses by two-way ANOVA). Complete regressions were observed in 4/10 animals at 100 mg/kg.</w:t>
      </w:r>
    </w:p>
    <w:p>
      <w:pPr>
        <w:pStyle w:val="Heading2"/>
      </w:pPr>
      <w:r>
        <w:t>Safety Pharmacology</w:t>
      </w:r>
    </w:p>
    <w:p>
      <w:r>
        <w:t>In a hERG assay, XYZ-001 inhibited the hERG potassium channel with an IC50 of 12 µM, providing approximately 60-fold margin over the projected human Cmax at the anticipated efficacious dose. In an anesthetized dog cardiovascular study (single doses up to 30 mg/kg IV), no clinically meaningful changes in heart rate, blood pressure, or QTc interval were observed.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