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Background and Target Rationale — Kinase Z</w:t>
      </w:r>
    </w:p>
    <w:p>
      <w:pPr>
        <w:pStyle w:val="Heading2"/>
      </w:pPr>
      <w:r>
        <w:t>Kinase Z Biology</w:t>
      </w:r>
    </w:p>
    <w:p>
      <w:r>
        <w:t>Kinase Z is a receptor tyrosine kinase implicated in the proliferation and survival of approximately 12% of solid tumors. Gene amplification of KINZ and activating point mutations (most commonly p.L883R) drive constitutive kinase activity and downstream MAPK and PI3K-AKT signaling.</w:t>
      </w:r>
    </w:p>
    <w:p>
      <w:pPr>
        <w:pStyle w:val="Heading2"/>
      </w:pPr>
      <w:r>
        <w:t>Therapeutic Hypothesis</w:t>
      </w:r>
    </w:p>
    <w:p>
      <w:r>
        <w:t>Selective inhibition of Kinase Z is hypothesized to provide tumor regression in Kinase Z-altered cancers without the off-target toxicity associated with broad-spectrum kinase inhibitors. The therapeutic window depends on achieving sustained target coverage at clinically tolerable exposure.</w:t>
      </w:r>
    </w:p>
    <w:p>
      <w:pPr>
        <w:pStyle w:val="Heading2"/>
      </w:pPr>
      <w:r>
        <w:t>Competitive Landscape</w:t>
      </w:r>
    </w:p>
    <w:p>
      <w:r>
        <w:t>Two other Kinase Z inhibitors are in clinical development (Compound A in Phase 1, Compound B in Phase 2). XYZ-001 is distinguished by higher kinase selectivity (&gt;100-fold) and longer human half-life (16 h versus 6 h for Compound 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