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Nonclinical Pharmacokinetics in Rat</w:t>
      </w:r>
    </w:p>
    <w:p>
      <w:r>
        <w:rPr>
          <w:b/>
        </w:rPr>
        <w:t>Study ID: XYZ-NC-PK-001</w:t>
      </w:r>
      <w:r>
        <w:br/>
        <w:t>Compound: XYZ-001 (GVR-12345)</w:t>
      </w:r>
    </w:p>
    <w:p>
      <w:pPr>
        <w:pStyle w:val="Heading2"/>
      </w:pPr>
      <w:r>
        <w:t>Study Design</w:t>
      </w:r>
    </w:p>
    <w:p>
      <w:r>
        <w:t>Sprague-Dawley rats (n=4/sex/dose) received XYZ-001 as a single oral dose of 5, 25, or 100 mg/kg, or by intravenous bolus at 5 mg/kg. Plasma samples were collected through 48 hours post-dose and analyzed by LC-MS/MS.</w:t>
      </w:r>
    </w:p>
    <w:p>
      <w:pPr>
        <w:pStyle w:val="Heading2"/>
      </w:pPr>
      <w:r>
        <w:t>Pharmacokinetic Parameters — Oral Dosing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Value (mean, 100 mg/kg PO)</w:t>
            </w:r>
          </w:p>
        </w:tc>
      </w:tr>
      <w:tr>
        <w:tc>
          <w:tcPr>
            <w:tcW w:type="dxa" w:w="4320"/>
          </w:tcPr>
          <w:p>
            <w:r>
              <w:t>Cmax</w:t>
            </w:r>
          </w:p>
        </w:tc>
        <w:tc>
          <w:tcPr>
            <w:tcW w:type="dxa" w:w="4320"/>
          </w:tcPr>
          <w:p>
            <w:r>
              <w:t>1,840 ng/mL</w:t>
            </w:r>
          </w:p>
        </w:tc>
      </w:tr>
      <w:tr>
        <w:tc>
          <w:tcPr>
            <w:tcW w:type="dxa" w:w="4320"/>
          </w:tcPr>
          <w:p>
            <w:r>
              <w:t>Tmax</w:t>
            </w:r>
          </w:p>
        </w:tc>
        <w:tc>
          <w:tcPr>
            <w:tcW w:type="dxa" w:w="4320"/>
          </w:tcPr>
          <w:p>
            <w:r>
              <w:t>2.0 h</w:t>
            </w:r>
          </w:p>
        </w:tc>
      </w:tr>
      <w:tr>
        <w:tc>
          <w:tcPr>
            <w:tcW w:type="dxa" w:w="4320"/>
          </w:tcPr>
          <w:p>
            <w:r>
              <w:t>AUC0-inf</w:t>
            </w:r>
          </w:p>
        </w:tc>
        <w:tc>
          <w:tcPr>
            <w:tcW w:type="dxa" w:w="4320"/>
          </w:tcPr>
          <w:p>
            <w:r>
              <w:t>11,400 ng·h/mL</w:t>
            </w:r>
          </w:p>
        </w:tc>
      </w:tr>
      <w:tr>
        <w:tc>
          <w:tcPr>
            <w:tcW w:type="dxa" w:w="4320"/>
          </w:tcPr>
          <w:p>
            <w:r>
              <w:t>Half-life (t1/2)</w:t>
            </w:r>
          </w:p>
        </w:tc>
        <w:tc>
          <w:tcPr>
            <w:tcW w:type="dxa" w:w="4320"/>
          </w:tcPr>
          <w:p>
            <w:r>
              <w:t>8.6 h</w:t>
            </w:r>
          </w:p>
        </w:tc>
      </w:tr>
      <w:tr>
        <w:tc>
          <w:tcPr>
            <w:tcW w:type="dxa" w:w="4320"/>
          </w:tcPr>
          <w:p>
            <w:r>
              <w:t>Apparent oral clearance (CL/F)</w:t>
            </w:r>
          </w:p>
        </w:tc>
        <w:tc>
          <w:tcPr>
            <w:tcW w:type="dxa" w:w="4320"/>
          </w:tcPr>
          <w:p>
            <w:r>
              <w:t>8.8 L/h/kg</w:t>
            </w:r>
          </w:p>
        </w:tc>
      </w:tr>
      <w:tr>
        <w:tc>
          <w:tcPr>
            <w:tcW w:type="dxa" w:w="4320"/>
          </w:tcPr>
          <w:p>
            <w:r>
              <w:t>Apparent volume of distribution (Vz/F)</w:t>
            </w:r>
          </w:p>
        </w:tc>
        <w:tc>
          <w:tcPr>
            <w:tcW w:type="dxa" w:w="4320"/>
          </w:tcPr>
          <w:p>
            <w:r>
              <w:t>109 L/kg</w:t>
            </w:r>
          </w:p>
        </w:tc>
      </w:tr>
    </w:tbl>
    <w:p>
      <w:pPr>
        <w:pStyle w:val="Heading2"/>
      </w:pPr>
      <w:r>
        <w:t>Dose Linearity</w:t>
      </w:r>
    </w:p>
    <w:p>
      <w:r>
        <w:t>Cmax and AUC increased approximately dose-proportionally across the 5–100 mg/kg range with no evidence of saturation. Absolute oral bioavailability calculated from the 5 mg/kg IV comparator was 38%.</w:t>
      </w:r>
    </w:p>
    <w:p>
      <w:pPr>
        <w:pStyle w:val="Heading2"/>
      </w:pPr>
      <w:r>
        <w:t>Tissue Distribution</w:t>
      </w:r>
    </w:p>
    <w:p>
      <w:r>
        <w:t>In a separate quantitative whole-body autoradiography study, [14C]-XYZ-001 distributed broadly with highest concentrations in liver, kidney, and tumor tissue at 4 hours post-dose. Brain penetration was minimal (brain:plasma ratio 0.04).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