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Nonclinical Pharmacokinetics in Dog</w:t>
      </w:r>
    </w:p>
    <w:p>
      <w:r>
        <w:rPr>
          <w:b/>
        </w:rPr>
        <w:t>Study ID: XYZ-NC-PK-002</w:t>
      </w:r>
      <w:r>
        <w:br/>
        <w:t>Compound: XYZ-001 (GVR-12345)</w:t>
      </w:r>
    </w:p>
    <w:p>
      <w:pPr>
        <w:pStyle w:val="Heading2"/>
      </w:pPr>
      <w:r>
        <w:t>Study Design</w:t>
      </w:r>
    </w:p>
    <w:p>
      <w:r>
        <w:t>Beagle dogs (n=3/sex/dose) received XYZ-001 as a single oral dose of 1, 5, or 25 mg/kg, or by intravenous bolus at 1 mg/kg. Plasma samples were collected through 72 hours post-dose.</w:t>
      </w:r>
    </w:p>
    <w:p>
      <w:pPr>
        <w:pStyle w:val="Heading2"/>
      </w:pPr>
      <w:r>
        <w:t>Pharmacokinetic Parameters — Oral Dosing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 (mean, 25 mg/kg PO)</w:t>
            </w:r>
          </w:p>
        </w:tc>
      </w:tr>
      <w:tr>
        <w:tc>
          <w:tcPr>
            <w:tcW w:type="dxa" w:w="4320"/>
          </w:tcPr>
          <w:p>
            <w:r>
              <w:t>Cmax</w:t>
            </w:r>
          </w:p>
        </w:tc>
        <w:tc>
          <w:tcPr>
            <w:tcW w:type="dxa" w:w="4320"/>
          </w:tcPr>
          <w:p>
            <w:r>
              <w:t>920 ng/mL</w:t>
            </w:r>
          </w:p>
        </w:tc>
      </w:tr>
      <w:tr>
        <w:tc>
          <w:tcPr>
            <w:tcW w:type="dxa" w:w="4320"/>
          </w:tcPr>
          <w:p>
            <w:r>
              <w:t>Tmax</w:t>
            </w:r>
          </w:p>
        </w:tc>
        <w:tc>
          <w:tcPr>
            <w:tcW w:type="dxa" w:w="4320"/>
          </w:tcPr>
          <w:p>
            <w:r>
              <w:t>3.0 h</w:t>
            </w:r>
          </w:p>
        </w:tc>
      </w:tr>
      <w:tr>
        <w:tc>
          <w:tcPr>
            <w:tcW w:type="dxa" w:w="4320"/>
          </w:tcPr>
          <w:p>
            <w:r>
              <w:t>AUC0-inf</w:t>
            </w:r>
          </w:p>
        </w:tc>
        <w:tc>
          <w:tcPr>
            <w:tcW w:type="dxa" w:w="4320"/>
          </w:tcPr>
          <w:p>
            <w:r>
              <w:t>8,600 ng·h/mL</w:t>
            </w:r>
          </w:p>
        </w:tc>
      </w:tr>
      <w:tr>
        <w:tc>
          <w:tcPr>
            <w:tcW w:type="dxa" w:w="4320"/>
          </w:tcPr>
          <w:p>
            <w:r>
              <w:t>Half-life (t1/2)</w:t>
            </w:r>
          </w:p>
        </w:tc>
        <w:tc>
          <w:tcPr>
            <w:tcW w:type="dxa" w:w="4320"/>
          </w:tcPr>
          <w:p>
            <w:r>
              <w:t>14.2 h</w:t>
            </w:r>
          </w:p>
        </w:tc>
      </w:tr>
      <w:tr>
        <w:tc>
          <w:tcPr>
            <w:tcW w:type="dxa" w:w="4320"/>
          </w:tcPr>
          <w:p>
            <w:r>
              <w:t>Apparent oral clearance (CL/F)</w:t>
            </w:r>
          </w:p>
        </w:tc>
        <w:tc>
          <w:tcPr>
            <w:tcW w:type="dxa" w:w="4320"/>
          </w:tcPr>
          <w:p>
            <w:r>
              <w:t>2.9 L/h/kg</w:t>
            </w:r>
          </w:p>
        </w:tc>
      </w:tr>
      <w:tr>
        <w:tc>
          <w:tcPr>
            <w:tcW w:type="dxa" w:w="4320"/>
          </w:tcPr>
          <w:p>
            <w:r>
              <w:t>Apparent volume of distribution (Vz/F)</w:t>
            </w:r>
          </w:p>
        </w:tc>
        <w:tc>
          <w:tcPr>
            <w:tcW w:type="dxa" w:w="4320"/>
          </w:tcPr>
          <w:p>
            <w:r>
              <w:t>59 L/kg</w:t>
            </w:r>
          </w:p>
        </w:tc>
      </w:tr>
      <w:tr>
        <w:tc>
          <w:tcPr>
            <w:tcW w:type="dxa" w:w="4320"/>
          </w:tcPr>
          <w:p>
            <w:r>
              <w:t>Absolute oral bioavailability</w:t>
            </w:r>
          </w:p>
        </w:tc>
        <w:tc>
          <w:tcPr>
            <w:tcW w:type="dxa" w:w="4320"/>
          </w:tcPr>
          <w:p>
            <w:r>
              <w:t>62%</w:t>
            </w:r>
          </w:p>
        </w:tc>
      </w:tr>
    </w:tbl>
    <w:p>
      <w:pPr>
        <w:pStyle w:val="Heading2"/>
      </w:pPr>
      <w:r>
        <w:t>Dose Linearity</w:t>
      </w:r>
    </w:p>
    <w:p>
      <w:r>
        <w:t>Dose-proportional exposure was observed across 1–25 mg/kg in dog. Half-life was longer in dog than rat, consistent with lower body-weight-normalized clearance.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