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13-Week Repeat-Dose Toxicology in Rat</w:t>
      </w:r>
    </w:p>
    <w:p>
      <w:r>
        <w:rPr>
          <w:b/>
        </w:rPr>
        <w:t>Study ID: XYZ-NC-004</w:t>
      </w:r>
      <w:r>
        <w:br/>
        <w:t>Compound: XYZ-001 (GVR-12345)</w:t>
      </w:r>
    </w:p>
    <w:p>
      <w:pPr>
        <w:pStyle w:val="Heading2"/>
      </w:pPr>
      <w:r>
        <w:t>Study Design</w:t>
      </w:r>
    </w:p>
    <w:p>
      <w:r>
        <w:t>Sprague-Dawley rats (n=15/sex/group, plus 5/sex/group recovery) received oral doses of vehicle, 10, 30, or 100 mg/kg/day for 13 weeks, followed by a 4-week recovery period for the high-dose and control groups.</w:t>
      </w:r>
    </w:p>
    <w:p>
      <w:pPr>
        <w:pStyle w:val="Heading2"/>
      </w:pPr>
      <w:r>
        <w:t>Mortality and Clinical Signs</w:t>
      </w:r>
    </w:p>
    <w:p>
      <w:r>
        <w:t>No mortality occurred in vehicle, 10, or 30 mg/kg/day groups. At 100 mg/kg/day, 2 of 30 animals were euthanized in moribund condition on study days 47 and 62 due to severe weight loss and decreased activity. Surviving high-dose animals exhibited reduced food consumption and body weight gain (mean −12% versus vehicle at week 13).</w:t>
      </w:r>
    </w:p>
    <w:p>
      <w:pPr>
        <w:pStyle w:val="Heading2"/>
      </w:pPr>
      <w:r>
        <w:t>Clinical Pathology</w:t>
      </w:r>
    </w:p>
    <w:p>
      <w:r>
        <w:t>At 100 mg/kg/day, dose-related elevations in ALT (mean 2.4-fold) and AST (mean 1.9-fold) were observed at week 13. Mild decreases in red cell mass parameters (hemoglobin −8%, hematocrit −7%) were noted at 100 mg/kg/day. All clinical pathology changes reversed during the 4-week recovery period.</w:t>
      </w:r>
    </w:p>
    <w:p>
      <w:pPr>
        <w:pStyle w:val="Heading2"/>
      </w:pPr>
      <w:r>
        <w:t>Anatomic Pathology</w:t>
      </w:r>
    </w:p>
    <w:p>
      <w:r>
        <w:t>Microscopic findings at 100 mg/kg/day included minimal-to-mild hepatocellular hypertrophy (10/15 males, 7/15 females) and minimal bone marrow erythroid hypocellularity (6/15 males). These findings reversed during recovery. No microscopic findings were attributed to XYZ-001 at 10 or 30 mg/kg/day.</w:t>
      </w:r>
    </w:p>
    <w:p>
      <w:pPr>
        <w:pStyle w:val="Heading2"/>
      </w:pPr>
      <w:r>
        <w:t>NOAEL Determination</w:t>
      </w:r>
    </w:p>
    <w:p>
      <w:r>
        <w:rPr>
          <w:b/>
        </w:rPr>
        <w:t>NOAEL: 30 mg/kg/day</w:t>
      </w:r>
      <w:r>
        <w:t>. The NOAEL was based on the absence of clinical-pathology and microscopic findings at this dose, with minimal hepatocellular hypertrophy and erythroid effects at 100 mg/kg/day. Mean AUC0-24 at the NOAEL was 6,200 ng·h/mL in males and 7,100 ng·h/mL in females.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