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97387" w14:textId="77777777" w:rsidR="00205620" w:rsidRDefault="00205620" w:rsidP="00205620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1E253" w14:textId="77777777" w:rsidR="00205620" w:rsidRDefault="00205620" w:rsidP="00205620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473A7" w14:textId="77777777" w:rsidR="00205620" w:rsidRDefault="00205620" w:rsidP="00205620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59DEB" w14:textId="77777777" w:rsidR="00205620" w:rsidRDefault="00205620" w:rsidP="00205620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80874" w14:textId="65F0E6A7" w:rsidR="00205620" w:rsidRPr="00B762E5" w:rsidRDefault="00C8178E" w:rsidP="00205620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Internal Sales Proposal</w:t>
      </w:r>
    </w:p>
    <w:p w14:paraId="31C919F1" w14:textId="77777777" w:rsidR="00205620" w:rsidRDefault="00205620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4F730" w14:textId="4B5624E7" w:rsidR="00205620" w:rsidRPr="00B762E5" w:rsidRDefault="00C8178E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Chad Cooper</w:t>
      </w:r>
    </w:p>
    <w:p w14:paraId="72BBAE99" w14:textId="63BE3672" w:rsidR="00205620" w:rsidRPr="00B762E5" w:rsidRDefault="00205620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62E5">
        <w:rPr>
          <w:rFonts w:ascii="Times New Roman" w:hAnsi="Times New Roman" w:cs="Times New Roman"/>
          <w:sz w:val="24"/>
          <w:szCs w:val="24"/>
        </w:rPr>
        <w:t>Post University</w:t>
      </w:r>
    </w:p>
    <w:p w14:paraId="25260C55" w14:textId="30AA60A3" w:rsidR="00205620" w:rsidRPr="00B762E5" w:rsidRDefault="00C8178E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Writing</w:t>
      </w:r>
    </w:p>
    <w:p w14:paraId="3FB3F052" w14:textId="188E046A" w:rsidR="00205620" w:rsidRPr="00B762E5" w:rsidRDefault="00C8178E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Zullo</w:t>
      </w:r>
    </w:p>
    <w:p w14:paraId="751752A7" w14:textId="21B7BF4A" w:rsidR="00205620" w:rsidRPr="00B762E5" w:rsidRDefault="00C8178E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10/05/2025</w:t>
      </w:r>
    </w:p>
    <w:p w14:paraId="1ACABAD8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E6EB2C7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CD72FB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0D63C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3E78779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4451855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9C33398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9F2956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50176EC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3C1BCA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1030F56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705938" w14:textId="77777777" w:rsidR="00205620" w:rsidRDefault="00205620" w:rsidP="0020562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D6A44" w14:textId="77777777" w:rsidR="00C8178E" w:rsidRPr="00B762E5" w:rsidRDefault="00C8178E" w:rsidP="00C8178E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Internal Sales Proposal</w:t>
      </w:r>
    </w:p>
    <w:p w14:paraId="7BD21FF0" w14:textId="00517D3B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B01684">
        <w:rPr>
          <w:rFonts w:ascii="Times New Roman" w:hAnsi="Times New Roman" w:cs="Times New Roman"/>
          <w:sz w:val="24"/>
          <w:szCs w:val="24"/>
        </w:rPr>
        <w:t xml:space="preserve"> October 5, 2025</w:t>
      </w:r>
      <w:r w:rsidRPr="00B01684">
        <w:rPr>
          <w:rFonts w:ascii="Times New Roman" w:hAnsi="Times New Roman" w:cs="Times New Roman"/>
          <w:sz w:val="24"/>
          <w:szCs w:val="24"/>
        </w:rPr>
        <w:br/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>Prepared by:</w:t>
      </w:r>
      <w:r w:rsidRPr="00B01684">
        <w:rPr>
          <w:rFonts w:ascii="Times New Roman" w:hAnsi="Times New Roman" w:cs="Times New Roman"/>
          <w:sz w:val="24"/>
          <w:szCs w:val="24"/>
        </w:rPr>
        <w:t xml:space="preserve"> Chad Cooper, Sales Strategy Lead</w:t>
      </w:r>
      <w:r w:rsidRPr="00B01684">
        <w:rPr>
          <w:rFonts w:ascii="Times New Roman" w:hAnsi="Times New Roman" w:cs="Times New Roman"/>
          <w:sz w:val="24"/>
          <w:szCs w:val="24"/>
        </w:rPr>
        <w:br/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>Department:</w:t>
      </w:r>
      <w:r w:rsidRPr="00B01684">
        <w:rPr>
          <w:rFonts w:ascii="Times New Roman" w:hAnsi="Times New Roman" w:cs="Times New Roman"/>
          <w:sz w:val="24"/>
          <w:szCs w:val="24"/>
        </w:rPr>
        <w:t xml:space="preserve"> Sales and Business Development</w:t>
      </w:r>
      <w:r w:rsidRPr="00B01684">
        <w:rPr>
          <w:rFonts w:ascii="Times New Roman" w:hAnsi="Times New Roman" w:cs="Times New Roman"/>
          <w:sz w:val="24"/>
          <w:szCs w:val="24"/>
        </w:rPr>
        <w:br/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>Subject:</w:t>
      </w:r>
      <w:r w:rsidRPr="00B01684">
        <w:rPr>
          <w:rFonts w:ascii="Times New Roman" w:hAnsi="Times New Roman" w:cs="Times New Roman"/>
          <w:sz w:val="24"/>
          <w:szCs w:val="24"/>
        </w:rPr>
        <w:t xml:space="preserve"> Multiuse Community School Campuses</w:t>
      </w:r>
    </w:p>
    <w:p w14:paraId="47202B7B" w14:textId="77777777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pict w14:anchorId="47B4A5ED">
          <v:rect id="_x0000_i1073" style="width:0;height:1.5pt" o:hralign="center" o:hrstd="t" o:hr="t" fillcolor="#a0a0a0" stroked="f"/>
        </w:pict>
      </w:r>
    </w:p>
    <w:p w14:paraId="3830D9BD" w14:textId="33493AA7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684">
        <w:rPr>
          <w:rFonts w:ascii="Segoe UI Emoji" w:hAnsi="Segoe UI Emoji" w:cs="Segoe UI Emoji"/>
          <w:b/>
          <w:bCs/>
          <w:sz w:val="24"/>
          <w:szCs w:val="24"/>
        </w:rPr>
        <w:t>👋</w:t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 xml:space="preserve"> Executive Summary – A</w:t>
      </w:r>
      <w:r w:rsidR="005401E3">
        <w:rPr>
          <w:rFonts w:ascii="Times New Roman" w:hAnsi="Times New Roman" w:cs="Times New Roman"/>
          <w:b/>
          <w:bCs/>
          <w:sz w:val="24"/>
          <w:szCs w:val="24"/>
        </w:rPr>
        <w:t>n Opportunity for Community</w:t>
      </w:r>
    </w:p>
    <w:p w14:paraId="451DE926" w14:textId="52FC29B6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F63AC">
        <w:rPr>
          <w:rFonts w:ascii="Times New Roman" w:hAnsi="Times New Roman" w:cs="Times New Roman"/>
          <w:sz w:val="24"/>
          <w:szCs w:val="24"/>
        </w:rPr>
        <w:t>We are currently examining</w:t>
      </w:r>
      <w:r w:rsidRPr="00B01684">
        <w:rPr>
          <w:rFonts w:ascii="Times New Roman" w:hAnsi="Times New Roman" w:cs="Times New Roman"/>
          <w:sz w:val="24"/>
          <w:szCs w:val="24"/>
        </w:rPr>
        <w:t xml:space="preserve"> one of the most promising infrastructure opportunities in the U.S. education market. Schools </w:t>
      </w:r>
      <w:r w:rsidRPr="006F63AC">
        <w:rPr>
          <w:rFonts w:ascii="Times New Roman" w:hAnsi="Times New Roman" w:cs="Times New Roman"/>
          <w:sz w:val="24"/>
          <w:szCs w:val="24"/>
        </w:rPr>
        <w:t>are not</w:t>
      </w:r>
      <w:r w:rsidRPr="00B01684">
        <w:rPr>
          <w:rFonts w:ascii="Times New Roman" w:hAnsi="Times New Roman" w:cs="Times New Roman"/>
          <w:sz w:val="24"/>
          <w:szCs w:val="24"/>
        </w:rPr>
        <w:t xml:space="preserve"> </w:t>
      </w:r>
      <w:r w:rsidRPr="006F63AC">
        <w:rPr>
          <w:rFonts w:ascii="Times New Roman" w:hAnsi="Times New Roman" w:cs="Times New Roman"/>
          <w:sz w:val="24"/>
          <w:szCs w:val="24"/>
        </w:rPr>
        <w:t xml:space="preserve">only </w:t>
      </w:r>
      <w:r w:rsidR="006F63AC" w:rsidRPr="006F63AC">
        <w:rPr>
          <w:rFonts w:ascii="Times New Roman" w:hAnsi="Times New Roman" w:cs="Times New Roman"/>
          <w:sz w:val="24"/>
          <w:szCs w:val="24"/>
        </w:rPr>
        <w:t>overcrowded but</w:t>
      </w:r>
      <w:r w:rsidRPr="00B01684">
        <w:rPr>
          <w:rFonts w:ascii="Times New Roman" w:hAnsi="Times New Roman" w:cs="Times New Roman"/>
          <w:sz w:val="24"/>
          <w:szCs w:val="24"/>
        </w:rPr>
        <w:t xml:space="preserve"> also underutilized. According to the National Center for Education Statistics, over 53 million students attend public K–12 schools, and enrollment is </w:t>
      </w:r>
      <w:r w:rsidRPr="006F63AC">
        <w:rPr>
          <w:rFonts w:ascii="Times New Roman" w:hAnsi="Times New Roman" w:cs="Times New Roman"/>
          <w:sz w:val="24"/>
          <w:szCs w:val="24"/>
        </w:rPr>
        <w:t>projected to increase by an additional</w:t>
      </w:r>
      <w:r w:rsidRPr="00B01684">
        <w:rPr>
          <w:rFonts w:ascii="Times New Roman" w:hAnsi="Times New Roman" w:cs="Times New Roman"/>
          <w:sz w:val="24"/>
          <w:szCs w:val="24"/>
        </w:rPr>
        <w:t xml:space="preserve"> 4% by 2029 (NCES, 2023). </w:t>
      </w:r>
      <w:r w:rsidRPr="006F63AC">
        <w:rPr>
          <w:rFonts w:ascii="Times New Roman" w:hAnsi="Times New Roman" w:cs="Times New Roman"/>
          <w:sz w:val="24"/>
          <w:szCs w:val="24"/>
        </w:rPr>
        <w:t>However,</w:t>
      </w:r>
      <w:r w:rsidRPr="00B01684">
        <w:rPr>
          <w:rFonts w:ascii="Times New Roman" w:hAnsi="Times New Roman" w:cs="Times New Roman"/>
          <w:sz w:val="24"/>
          <w:szCs w:val="24"/>
        </w:rPr>
        <w:t xml:space="preserve"> most school buildings are only in use about 33% of the time, serving just a narrow slice of the community (Riley, 2000).</w:t>
      </w:r>
    </w:p>
    <w:p w14:paraId="27862734" w14:textId="673D3D82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 xml:space="preserve">Our proposal </w:t>
      </w:r>
      <w:r w:rsidRPr="006F63AC">
        <w:rPr>
          <w:rFonts w:ascii="Times New Roman" w:hAnsi="Times New Roman" w:cs="Times New Roman"/>
          <w:sz w:val="24"/>
          <w:szCs w:val="24"/>
        </w:rPr>
        <w:t>explores a more innovative approach to designing and selling educational infrastructure — one that transforms schools into multifunctional</w:t>
      </w:r>
      <w:r w:rsidRPr="00B01684">
        <w:rPr>
          <w:rFonts w:ascii="Times New Roman" w:hAnsi="Times New Roman" w:cs="Times New Roman"/>
          <w:sz w:val="24"/>
          <w:szCs w:val="24"/>
        </w:rPr>
        <w:t xml:space="preserve"> community hubs. Think classrooms by day, adult ed and healthcare services by evening, and public events on weekends — all in one facility.</w:t>
      </w:r>
    </w:p>
    <w:p w14:paraId="609ACBE8" w14:textId="105EC096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 xml:space="preserve">This </w:t>
      </w:r>
      <w:r w:rsidRPr="006F63AC">
        <w:rPr>
          <w:rFonts w:ascii="Times New Roman" w:hAnsi="Times New Roman" w:cs="Times New Roman"/>
          <w:sz w:val="24"/>
          <w:szCs w:val="24"/>
        </w:rPr>
        <w:t>is not</w:t>
      </w:r>
      <w:r w:rsidRPr="00B01684">
        <w:rPr>
          <w:rFonts w:ascii="Times New Roman" w:hAnsi="Times New Roman" w:cs="Times New Roman"/>
          <w:sz w:val="24"/>
          <w:szCs w:val="24"/>
        </w:rPr>
        <w:t xml:space="preserve"> just theoretical. In Gaylord, Michigan</w:t>
      </w:r>
      <w:r w:rsidRPr="006F63AC">
        <w:rPr>
          <w:rFonts w:ascii="Times New Roman" w:hAnsi="Times New Roman" w:cs="Times New Roman"/>
          <w:sz w:val="24"/>
          <w:szCs w:val="24"/>
        </w:rPr>
        <w:t>,</w:t>
      </w:r>
      <w:r w:rsidRPr="00B01684">
        <w:rPr>
          <w:rFonts w:ascii="Times New Roman" w:hAnsi="Times New Roman" w:cs="Times New Roman"/>
          <w:sz w:val="24"/>
          <w:szCs w:val="24"/>
        </w:rPr>
        <w:t xml:space="preserve"> and Big Lake, Minnesota, districts have already implemented this model — and </w:t>
      </w:r>
      <w:r w:rsidRPr="006F63AC">
        <w:rPr>
          <w:rFonts w:ascii="Times New Roman" w:hAnsi="Times New Roman" w:cs="Times New Roman"/>
          <w:sz w:val="24"/>
          <w:szCs w:val="24"/>
        </w:rPr>
        <w:t>it is</w:t>
      </w:r>
      <w:r w:rsidRPr="00B01684">
        <w:rPr>
          <w:rFonts w:ascii="Times New Roman" w:hAnsi="Times New Roman" w:cs="Times New Roman"/>
          <w:sz w:val="24"/>
          <w:szCs w:val="24"/>
        </w:rPr>
        <w:t xml:space="preserve"> working. Backed by input from U.S. Secretary of Education Richard W. Riley, AARP President Joe Perkins, and NRTA Director Annette Norsman, </w:t>
      </w:r>
      <w:r w:rsidRPr="006F63AC">
        <w:rPr>
          <w:rFonts w:ascii="Times New Roman" w:hAnsi="Times New Roman" w:cs="Times New Roman"/>
          <w:sz w:val="24"/>
          <w:szCs w:val="24"/>
        </w:rPr>
        <w:t>there is</w:t>
      </w:r>
      <w:r w:rsidRPr="00B01684">
        <w:rPr>
          <w:rFonts w:ascii="Times New Roman" w:hAnsi="Times New Roman" w:cs="Times New Roman"/>
          <w:sz w:val="24"/>
          <w:szCs w:val="24"/>
        </w:rPr>
        <w:t xml:space="preserve"> real momentum behind this movement.</w:t>
      </w:r>
    </w:p>
    <w:p w14:paraId="2D8D7134" w14:textId="77777777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pict w14:anchorId="784E4D96">
          <v:rect id="_x0000_i1074" style="width:0;height:1.5pt" o:hralign="center" o:hrstd="t" o:hr="t" fillcolor="#a0a0a0" stroked="f"/>
        </w:pict>
      </w:r>
    </w:p>
    <w:p w14:paraId="628D7F9C" w14:textId="77777777" w:rsidR="006F63AC" w:rsidRDefault="006F63AC" w:rsidP="00B01684">
      <w:pPr>
        <w:spacing w:after="0" w:line="48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263C9D47" w14:textId="2BBF3CD5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684">
        <w:rPr>
          <w:rFonts w:ascii="Segoe UI Emoji" w:hAnsi="Segoe UI Emoji" w:cs="Segoe UI Emoji"/>
          <w:b/>
          <w:bCs/>
          <w:sz w:val="24"/>
          <w:szCs w:val="24"/>
        </w:rPr>
        <w:lastRenderedPageBreak/>
        <w:t>📈</w:t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 xml:space="preserve"> Market Background – Why Now?</w:t>
      </w:r>
    </w:p>
    <w:p w14:paraId="7E6A67E8" w14:textId="6F8E4FDB" w:rsidR="00B01684" w:rsidRPr="00B01684" w:rsidRDefault="00B01684" w:rsidP="00B01684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b/>
          <w:bCs/>
          <w:sz w:val="24"/>
          <w:szCs w:val="24"/>
        </w:rPr>
        <w:t>Aging Infrastructure:</w:t>
      </w:r>
      <w:r w:rsidRPr="00B01684">
        <w:rPr>
          <w:rFonts w:ascii="Times New Roman" w:hAnsi="Times New Roman" w:cs="Times New Roman"/>
          <w:sz w:val="24"/>
          <w:szCs w:val="24"/>
        </w:rPr>
        <w:t xml:space="preserve"> The average U.S. public school is 44 years old (U.S. Government Accountability Office [GAO], 2020). Many are outdated or in need of </w:t>
      </w:r>
      <w:r>
        <w:rPr>
          <w:rFonts w:ascii="Times New Roman" w:hAnsi="Times New Roman" w:cs="Times New Roman"/>
          <w:sz w:val="24"/>
          <w:szCs w:val="24"/>
        </w:rPr>
        <w:t>significant</w:t>
      </w:r>
      <w:r w:rsidRPr="00B01684">
        <w:rPr>
          <w:rFonts w:ascii="Times New Roman" w:hAnsi="Times New Roman" w:cs="Times New Roman"/>
          <w:sz w:val="24"/>
          <w:szCs w:val="24"/>
        </w:rPr>
        <w:t xml:space="preserve"> renovation.</w:t>
      </w:r>
    </w:p>
    <w:p w14:paraId="53213B8C" w14:textId="77777777" w:rsidR="00B01684" w:rsidRPr="00B01684" w:rsidRDefault="00B01684" w:rsidP="00B01684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b/>
          <w:bCs/>
          <w:sz w:val="24"/>
          <w:szCs w:val="24"/>
        </w:rPr>
        <w:t>Rising Demand:</w:t>
      </w:r>
      <w:r w:rsidRPr="00B01684">
        <w:rPr>
          <w:rFonts w:ascii="Times New Roman" w:hAnsi="Times New Roman" w:cs="Times New Roman"/>
          <w:sz w:val="24"/>
          <w:szCs w:val="24"/>
        </w:rPr>
        <w:t xml:space="preserve"> The “Baby Boom echo” is straining schools across the country. Districts are spending over $49</w:t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01684">
        <w:rPr>
          <w:rFonts w:ascii="Times New Roman" w:hAnsi="Times New Roman" w:cs="Times New Roman"/>
          <w:sz w:val="24"/>
          <w:szCs w:val="24"/>
        </w:rPr>
        <w:t>billion</w:t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B01684">
        <w:rPr>
          <w:rFonts w:ascii="Times New Roman" w:hAnsi="Times New Roman" w:cs="Times New Roman"/>
          <w:sz w:val="24"/>
          <w:szCs w:val="24"/>
        </w:rPr>
        <w:t>year on maintenance and new construction (21st Century School Fund, 2021).</w:t>
      </w:r>
    </w:p>
    <w:p w14:paraId="3CF644E6" w14:textId="77777777" w:rsidR="00B01684" w:rsidRPr="00B01684" w:rsidRDefault="00B01684" w:rsidP="00B01684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b/>
          <w:bCs/>
          <w:sz w:val="24"/>
          <w:szCs w:val="24"/>
        </w:rPr>
        <w:t>Inefficient Use:</w:t>
      </w:r>
      <w:r w:rsidRPr="00B01684">
        <w:rPr>
          <w:rFonts w:ascii="Times New Roman" w:hAnsi="Times New Roman" w:cs="Times New Roman"/>
          <w:sz w:val="24"/>
          <w:szCs w:val="24"/>
        </w:rPr>
        <w:t xml:space="preserve"> Schools are empty two-thirds of the time, even though public dollars are paying for them year-round (Riley, 2000).</w:t>
      </w:r>
    </w:p>
    <w:p w14:paraId="4EBDF9A1" w14:textId="5F785802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 xml:space="preserve">Secretary Riley described multiuse campuses as “anchors in the civic life of our nation” (Riley, 2000). This is more than just new construction — </w:t>
      </w:r>
      <w:r>
        <w:rPr>
          <w:rFonts w:ascii="Times New Roman" w:hAnsi="Times New Roman" w:cs="Times New Roman"/>
          <w:sz w:val="24"/>
          <w:szCs w:val="24"/>
        </w:rPr>
        <w:t>it is</w:t>
      </w:r>
      <w:r w:rsidRPr="00B01684">
        <w:rPr>
          <w:rFonts w:ascii="Times New Roman" w:hAnsi="Times New Roman" w:cs="Times New Roman"/>
          <w:sz w:val="24"/>
          <w:szCs w:val="24"/>
        </w:rPr>
        <w:t xml:space="preserve"> about rethinking what schools can be and how they can serve entire communities.</w:t>
      </w:r>
    </w:p>
    <w:p w14:paraId="691E79AA" w14:textId="77777777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pict w14:anchorId="6F03612F">
          <v:rect id="_x0000_i1075" style="width:0;height:1.5pt" o:hralign="center" o:hrstd="t" o:hr="t" fillcolor="#a0a0a0" stroked="f"/>
        </w:pict>
      </w:r>
    </w:p>
    <w:p w14:paraId="512E6957" w14:textId="362435AC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684">
        <w:rPr>
          <w:rFonts w:ascii="Segoe UI Emoji" w:hAnsi="Segoe UI Emoji" w:cs="Segoe UI Emoji"/>
          <w:b/>
          <w:bCs/>
          <w:sz w:val="24"/>
          <w:szCs w:val="24"/>
        </w:rPr>
        <w:t>🏫</w:t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 xml:space="preserve"> What </w:t>
      </w:r>
      <w:r>
        <w:rPr>
          <w:rFonts w:ascii="Times New Roman" w:hAnsi="Times New Roman" w:cs="Times New Roman"/>
          <w:b/>
          <w:bCs/>
          <w:sz w:val="24"/>
          <w:szCs w:val="24"/>
        </w:rPr>
        <w:t>We are</w:t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 xml:space="preserve"> Proposing</w:t>
      </w:r>
    </w:p>
    <w:p w14:paraId="7C8C0EBC" w14:textId="540CB811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 xml:space="preserve">Let’s lead with a solution that positions us not just as builders — but as partners in innovation. </w:t>
      </w:r>
      <w:r>
        <w:rPr>
          <w:rFonts w:ascii="Times New Roman" w:hAnsi="Times New Roman" w:cs="Times New Roman"/>
          <w:sz w:val="24"/>
          <w:szCs w:val="24"/>
        </w:rPr>
        <w:t>Here is</w:t>
      </w:r>
      <w:r w:rsidRPr="00B01684">
        <w:rPr>
          <w:rFonts w:ascii="Times New Roman" w:hAnsi="Times New Roman" w:cs="Times New Roman"/>
          <w:sz w:val="24"/>
          <w:szCs w:val="24"/>
        </w:rPr>
        <w:t xml:space="preserve"> how we can package and sell our </w:t>
      </w:r>
      <w:r>
        <w:rPr>
          <w:rFonts w:ascii="Times New Roman" w:hAnsi="Times New Roman" w:cs="Times New Roman"/>
          <w:sz w:val="24"/>
          <w:szCs w:val="24"/>
        </w:rPr>
        <w:t>multi-use</w:t>
      </w:r>
      <w:r w:rsidRPr="00B01684">
        <w:rPr>
          <w:rFonts w:ascii="Times New Roman" w:hAnsi="Times New Roman" w:cs="Times New Roman"/>
          <w:sz w:val="24"/>
          <w:szCs w:val="24"/>
        </w:rPr>
        <w:t xml:space="preserve"> campus concept:</w:t>
      </w:r>
    </w:p>
    <w:p w14:paraId="241E4439" w14:textId="77777777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684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382C1759" w14:textId="77777777" w:rsidR="00B01684" w:rsidRPr="00B01684" w:rsidRDefault="00B01684" w:rsidP="00B01684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>Shared-use buildings that combine:</w:t>
      </w:r>
    </w:p>
    <w:p w14:paraId="0E88869B" w14:textId="77777777" w:rsidR="00B01684" w:rsidRPr="00B01684" w:rsidRDefault="00B01684" w:rsidP="00B01684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>K–12 classrooms</w:t>
      </w:r>
    </w:p>
    <w:p w14:paraId="26A0908C" w14:textId="77777777" w:rsidR="00B01684" w:rsidRPr="00B01684" w:rsidRDefault="00B01684" w:rsidP="00B01684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>Adult education</w:t>
      </w:r>
    </w:p>
    <w:p w14:paraId="78D61316" w14:textId="77777777" w:rsidR="00B01684" w:rsidRPr="00B01684" w:rsidRDefault="00B01684" w:rsidP="00B01684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>Health clinics</w:t>
      </w:r>
    </w:p>
    <w:p w14:paraId="47A73717" w14:textId="77777777" w:rsidR="00B01684" w:rsidRPr="00B01684" w:rsidRDefault="00B01684" w:rsidP="00B01684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>Daycare + senior centers</w:t>
      </w:r>
    </w:p>
    <w:p w14:paraId="74F9502F" w14:textId="77777777" w:rsidR="00B01684" w:rsidRPr="00B01684" w:rsidRDefault="00B01684" w:rsidP="00B01684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>Event spaces and athletic facilities</w:t>
      </w:r>
    </w:p>
    <w:p w14:paraId="1B860B52" w14:textId="66210F2B" w:rsidR="00B01684" w:rsidRPr="00B01684" w:rsidRDefault="00B01684" w:rsidP="00B01684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lastRenderedPageBreak/>
        <w:t>Designed for maximum flexibility, year-round utility, and long-term ROI</w:t>
      </w:r>
      <w:r w:rsidR="006F63AC">
        <w:rPr>
          <w:rFonts w:ascii="Times New Roman" w:hAnsi="Times New Roman" w:cs="Times New Roman"/>
          <w:sz w:val="24"/>
          <w:szCs w:val="24"/>
        </w:rPr>
        <w:t xml:space="preserve"> (return on investment)</w:t>
      </w:r>
    </w:p>
    <w:p w14:paraId="006D002A" w14:textId="77777777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684">
        <w:rPr>
          <w:rFonts w:ascii="Times New Roman" w:hAnsi="Times New Roman" w:cs="Times New Roman"/>
          <w:b/>
          <w:bCs/>
          <w:sz w:val="24"/>
          <w:szCs w:val="24"/>
        </w:rPr>
        <w:t>Real-World Case Studies:</w:t>
      </w:r>
    </w:p>
    <w:p w14:paraId="70AC07A6" w14:textId="2A2EDA7C" w:rsidR="00B01684" w:rsidRPr="00B01684" w:rsidRDefault="00B01684" w:rsidP="00B01684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b/>
          <w:bCs/>
          <w:sz w:val="24"/>
          <w:szCs w:val="24"/>
        </w:rPr>
        <w:t>Gaylord, MI:</w:t>
      </w:r>
      <w:r w:rsidRPr="00B01684">
        <w:rPr>
          <w:rFonts w:ascii="Times New Roman" w:hAnsi="Times New Roman" w:cs="Times New Roman"/>
          <w:sz w:val="24"/>
          <w:szCs w:val="24"/>
        </w:rPr>
        <w:t xml:space="preserve"> A high school </w:t>
      </w:r>
      <w:r w:rsidRPr="00B01684">
        <w:rPr>
          <w:rFonts w:ascii="Times New Roman" w:hAnsi="Times New Roman" w:cs="Times New Roman"/>
          <w:sz w:val="24"/>
          <w:szCs w:val="24"/>
        </w:rPr>
        <w:t>campus</w:t>
      </w:r>
      <w:r w:rsidRPr="00B01684">
        <w:rPr>
          <w:rFonts w:ascii="Times New Roman" w:hAnsi="Times New Roman" w:cs="Times New Roman"/>
          <w:sz w:val="24"/>
          <w:szCs w:val="24"/>
        </w:rPr>
        <w:t xml:space="preserve"> operates 16+ hours/day — hosting everything from senior services to community events.</w:t>
      </w:r>
    </w:p>
    <w:p w14:paraId="12AE5495" w14:textId="77777777" w:rsidR="00B01684" w:rsidRPr="00B01684" w:rsidRDefault="00B01684" w:rsidP="00B01684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b/>
          <w:bCs/>
          <w:sz w:val="24"/>
          <w:szCs w:val="24"/>
        </w:rPr>
        <w:t>Big Lake, MN:</w:t>
      </w:r>
      <w:r w:rsidRPr="00B01684">
        <w:rPr>
          <w:rFonts w:ascii="Times New Roman" w:hAnsi="Times New Roman" w:cs="Times New Roman"/>
          <w:sz w:val="24"/>
          <w:szCs w:val="24"/>
        </w:rPr>
        <w:t xml:space="preserve"> A full-campus layout with performing arts, resource centers, and recreational spaces used by both students and the public.</w:t>
      </w:r>
    </w:p>
    <w:p w14:paraId="44EF9F16" w14:textId="77777777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>These communities report higher civic engagement, reduced costs, and stronger educational outcomes (AARP, 2000).</w:t>
      </w:r>
    </w:p>
    <w:p w14:paraId="37B6E95B" w14:textId="77777777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pict w14:anchorId="6FB44547">
          <v:rect id="_x0000_i1076" style="width:0;height:1.5pt" o:hralign="center" o:hrstd="t" o:hr="t" fillcolor="#a0a0a0" stroked="f"/>
        </w:pict>
      </w:r>
    </w:p>
    <w:p w14:paraId="7F232424" w14:textId="77777777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684">
        <w:rPr>
          <w:rFonts w:ascii="Segoe UI Emoji" w:hAnsi="Segoe UI Emoji" w:cs="Segoe UI Emoji"/>
          <w:b/>
          <w:bCs/>
          <w:sz w:val="24"/>
          <w:szCs w:val="24"/>
        </w:rPr>
        <w:t>💼</w:t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 xml:space="preserve"> Sales Strategy</w:t>
      </w:r>
    </w:p>
    <w:p w14:paraId="022E825A" w14:textId="77777777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684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 xml:space="preserve"> Target Audience:</w:t>
      </w:r>
    </w:p>
    <w:p w14:paraId="4D4B612E" w14:textId="77777777" w:rsidR="00B01684" w:rsidRPr="00B01684" w:rsidRDefault="00B01684" w:rsidP="00B01684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>Public school districts</w:t>
      </w:r>
    </w:p>
    <w:p w14:paraId="5FDBFB2D" w14:textId="77777777" w:rsidR="00B01684" w:rsidRPr="00B01684" w:rsidRDefault="00B01684" w:rsidP="00B01684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>State education boards</w:t>
      </w:r>
    </w:p>
    <w:p w14:paraId="153FD98C" w14:textId="77777777" w:rsidR="00B01684" w:rsidRPr="00B01684" w:rsidRDefault="00B01684" w:rsidP="00B01684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>Local governments</w:t>
      </w:r>
    </w:p>
    <w:p w14:paraId="4D898E6D" w14:textId="77777777" w:rsidR="00B01684" w:rsidRPr="00B01684" w:rsidRDefault="00B01684" w:rsidP="00B01684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>Community planning organizations</w:t>
      </w:r>
    </w:p>
    <w:p w14:paraId="3129B8C6" w14:textId="61F23599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684">
        <w:rPr>
          <w:rFonts w:ascii="Segoe UI Emoji" w:hAnsi="Segoe UI Emoji" w:cs="Segoe UI Emoji"/>
          <w:b/>
          <w:bCs/>
          <w:sz w:val="24"/>
          <w:szCs w:val="24"/>
        </w:rPr>
        <w:t>🧰</w:t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 xml:space="preserve"> Tools </w:t>
      </w:r>
      <w:r w:rsidR="006F63AC">
        <w:rPr>
          <w:rFonts w:ascii="Times New Roman" w:hAnsi="Times New Roman" w:cs="Times New Roman"/>
          <w:b/>
          <w:bCs/>
          <w:sz w:val="24"/>
          <w:szCs w:val="24"/>
        </w:rPr>
        <w:t>We will</w:t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 xml:space="preserve"> Use:</w:t>
      </w:r>
    </w:p>
    <w:p w14:paraId="28A26138" w14:textId="77777777" w:rsidR="00B01684" w:rsidRPr="00B01684" w:rsidRDefault="00B01684" w:rsidP="00B01684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>Customized pitch decks with visuals of Gaylord and Big Lake campuses</w:t>
      </w:r>
    </w:p>
    <w:p w14:paraId="78785A49" w14:textId="77777777" w:rsidR="00B01684" w:rsidRPr="00B01684" w:rsidRDefault="00B01684" w:rsidP="00B01684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>Virtual walk-throughs to help clients envision the impact</w:t>
      </w:r>
    </w:p>
    <w:p w14:paraId="3C2CA485" w14:textId="77777777" w:rsidR="00B01684" w:rsidRPr="00B01684" w:rsidRDefault="00B01684" w:rsidP="00B01684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>Real ROI calculators showing long-term savings (up to 25–30% lower facility costs over 20 years through shared-use designs)</w:t>
      </w:r>
    </w:p>
    <w:p w14:paraId="17B061DA" w14:textId="77777777" w:rsidR="00B01684" w:rsidRPr="00B01684" w:rsidRDefault="00B01684" w:rsidP="00B01684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>Endorsements and quotes from Riley, Perkins, and Norsman to boost credibility</w:t>
      </w:r>
    </w:p>
    <w:p w14:paraId="50CD7979" w14:textId="77777777" w:rsidR="00456111" w:rsidRDefault="00456111" w:rsidP="00B01684">
      <w:pPr>
        <w:spacing w:after="0" w:line="48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64A6B25F" w14:textId="0FFBFAB4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684">
        <w:rPr>
          <w:rFonts w:ascii="Segoe UI Emoji" w:hAnsi="Segoe UI Emoji" w:cs="Segoe UI Emoji"/>
          <w:b/>
          <w:bCs/>
          <w:sz w:val="24"/>
          <w:szCs w:val="24"/>
        </w:rPr>
        <w:lastRenderedPageBreak/>
        <w:t>📣</w:t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 xml:space="preserve"> Channels:</w:t>
      </w:r>
    </w:p>
    <w:p w14:paraId="6A15DFF8" w14:textId="77777777" w:rsidR="00B01684" w:rsidRPr="00B01684" w:rsidRDefault="00B01684" w:rsidP="00B01684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>Webinars &amp; education conferences</w:t>
      </w:r>
    </w:p>
    <w:p w14:paraId="643E17CA" w14:textId="77777777" w:rsidR="00B01684" w:rsidRPr="00B01684" w:rsidRDefault="00B01684" w:rsidP="00B01684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>Direct outreach campaigns</w:t>
      </w:r>
    </w:p>
    <w:p w14:paraId="3D239366" w14:textId="77777777" w:rsidR="00B01684" w:rsidRPr="00B01684" w:rsidRDefault="00B01684" w:rsidP="00B01684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>Co-branded marketing with AARP or NRTA</w:t>
      </w:r>
    </w:p>
    <w:p w14:paraId="18DA82EE" w14:textId="06C76D78" w:rsidR="00B01684" w:rsidRPr="00B01684" w:rsidRDefault="00B01684" w:rsidP="00B01684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>Case study and proposal templates for rapid response</w:t>
      </w:r>
    </w:p>
    <w:p w14:paraId="11DD93E5" w14:textId="77777777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pict w14:anchorId="71D2A2B6">
          <v:rect id="_x0000_i1077" style="width:0;height:1.5pt" o:hralign="center" o:hrstd="t" o:hr="t" fillcolor="#a0a0a0" stroked="f"/>
        </w:pict>
      </w:r>
    </w:p>
    <w:p w14:paraId="7C7F6AD7" w14:textId="37698767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684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 xml:space="preserve"> Why </w:t>
      </w:r>
      <w:r w:rsidR="006F63AC">
        <w:rPr>
          <w:rFonts w:ascii="Times New Roman" w:hAnsi="Times New Roman" w:cs="Times New Roman"/>
          <w:b/>
          <w:bCs/>
          <w:sz w:val="24"/>
          <w:szCs w:val="24"/>
        </w:rPr>
        <w:t>It</w:t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 xml:space="preserve"> Matters (</w:t>
      </w:r>
      <w:r w:rsidR="006F63AC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 xml:space="preserve"> Why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We </w:t>
      </w:r>
      <w:r w:rsidR="006F63AC">
        <w:rPr>
          <w:rFonts w:ascii="Times New Roman" w:hAnsi="Times New Roman" w:cs="Times New Roman"/>
          <w:b/>
          <w:bCs/>
          <w:sz w:val="24"/>
          <w:szCs w:val="24"/>
        </w:rPr>
        <w:t>Will</w:t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 xml:space="preserve"> Win)</w:t>
      </w:r>
    </w:p>
    <w:p w14:paraId="3F32B237" w14:textId="1EE7E6CD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Multi-use</w:t>
      </w:r>
      <w:r w:rsidRPr="00B01684">
        <w:rPr>
          <w:rFonts w:ascii="Times New Roman" w:hAnsi="Times New Roman" w:cs="Times New Roman"/>
          <w:sz w:val="24"/>
          <w:szCs w:val="24"/>
        </w:rPr>
        <w:t xml:space="preserve"> campuses provide:</w:t>
      </w:r>
    </w:p>
    <w:p w14:paraId="16EBC86A" w14:textId="77777777" w:rsidR="00B01684" w:rsidRPr="00B01684" w:rsidRDefault="00B01684" w:rsidP="00B01684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b/>
          <w:bCs/>
          <w:sz w:val="24"/>
          <w:szCs w:val="24"/>
        </w:rPr>
        <w:t>Better economics:</w:t>
      </w:r>
      <w:r w:rsidRPr="00B01684">
        <w:rPr>
          <w:rFonts w:ascii="Times New Roman" w:hAnsi="Times New Roman" w:cs="Times New Roman"/>
          <w:sz w:val="24"/>
          <w:szCs w:val="24"/>
        </w:rPr>
        <w:t xml:space="preserve"> One building, multiple purposes — less duplication, more value</w:t>
      </w:r>
    </w:p>
    <w:p w14:paraId="6E745B94" w14:textId="77777777" w:rsidR="00B01684" w:rsidRPr="00B01684" w:rsidRDefault="00B01684" w:rsidP="00B01684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b/>
          <w:bCs/>
          <w:sz w:val="24"/>
          <w:szCs w:val="24"/>
        </w:rPr>
        <w:t>Community benefits:</w:t>
      </w:r>
      <w:r w:rsidRPr="00B01684">
        <w:rPr>
          <w:rFonts w:ascii="Times New Roman" w:hAnsi="Times New Roman" w:cs="Times New Roman"/>
          <w:sz w:val="24"/>
          <w:szCs w:val="24"/>
        </w:rPr>
        <w:t xml:space="preserve"> Lifelong learning, stronger neighborhoods, public health access</w:t>
      </w:r>
    </w:p>
    <w:p w14:paraId="00EA2B24" w14:textId="4E00BFE8" w:rsidR="00B01684" w:rsidRPr="00B01684" w:rsidRDefault="00B01684" w:rsidP="00B01684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b/>
          <w:bCs/>
          <w:sz w:val="24"/>
          <w:szCs w:val="24"/>
        </w:rPr>
        <w:t>Stronger sales hooks:</w:t>
      </w:r>
      <w:r w:rsidRPr="00B016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are</w:t>
      </w:r>
      <w:r w:rsidRPr="00B01684">
        <w:rPr>
          <w:rFonts w:ascii="Times New Roman" w:hAnsi="Times New Roman" w:cs="Times New Roman"/>
          <w:sz w:val="24"/>
          <w:szCs w:val="24"/>
        </w:rPr>
        <w:t xml:space="preserve"> not just building schools; </w:t>
      </w:r>
      <w:r>
        <w:rPr>
          <w:rFonts w:ascii="Times New Roman" w:hAnsi="Times New Roman" w:cs="Times New Roman"/>
          <w:sz w:val="24"/>
          <w:szCs w:val="24"/>
        </w:rPr>
        <w:t>we are</w:t>
      </w:r>
      <w:r w:rsidRPr="00B01684">
        <w:rPr>
          <w:rFonts w:ascii="Times New Roman" w:hAnsi="Times New Roman" w:cs="Times New Roman"/>
          <w:sz w:val="24"/>
          <w:szCs w:val="24"/>
        </w:rPr>
        <w:t xml:space="preserve"> building futures</w:t>
      </w:r>
    </w:p>
    <w:p w14:paraId="3285A69F" w14:textId="77777777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>With the right strategy, we estimate a 20–30% increase in school project wins in FY2026 — backed by bundled contracts and long-term partnerships.</w:t>
      </w:r>
    </w:p>
    <w:p w14:paraId="4C55F17C" w14:textId="77777777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pict w14:anchorId="38B90BF1">
          <v:rect id="_x0000_i1078" style="width:0;height:1.5pt" o:hralign="center" o:hrstd="t" o:hr="t" fillcolor="#a0a0a0" stroked="f"/>
        </w:pict>
      </w:r>
    </w:p>
    <w:p w14:paraId="181E1195" w14:textId="77777777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684">
        <w:rPr>
          <w:rFonts w:ascii="Segoe UI Emoji" w:hAnsi="Segoe UI Emoji" w:cs="Segoe UI Emoji"/>
          <w:b/>
          <w:bCs/>
          <w:sz w:val="24"/>
          <w:szCs w:val="24"/>
        </w:rPr>
        <w:t>🚧</w:t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 xml:space="preserve"> Risks &amp; How We Handle Them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034"/>
      </w:tblGrid>
      <w:tr w:rsidR="006F63AC" w:rsidRPr="00B01684" w14:paraId="2D9566AE" w14:textId="77777777" w:rsidTr="000F22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52FBC" w14:textId="77777777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16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</w:tcPr>
          <w:p w14:paraId="68C840F8" w14:textId="77777777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A8B98E7" w14:textId="3DDD2B05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F525638" w14:textId="532D43B7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E1F4B7F" w14:textId="57666C37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AB07F90" w14:textId="5FEE2571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C426740" w14:textId="1D052D88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1CC2B14" w14:textId="11A684D4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367A34C" w14:textId="47AF0E80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2B10D3A" w14:textId="1A770781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BBC2FD9" w14:textId="09D8869E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0175510" w14:textId="5DBE61D6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6C0C3A9" w14:textId="422E2A3E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5CF0BFF" w14:textId="445FB573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551862" w14:textId="48412256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16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6F63AC" w:rsidRPr="00B01684" w14:paraId="78827F94" w14:textId="77777777" w:rsidTr="000F2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0FD72" w14:textId="77777777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684">
              <w:rPr>
                <w:rFonts w:ascii="Times New Roman" w:hAnsi="Times New Roman" w:cs="Times New Roman"/>
                <w:sz w:val="24"/>
                <w:szCs w:val="24"/>
              </w:rPr>
              <w:t>Upfront cost concerns</w:t>
            </w:r>
          </w:p>
        </w:tc>
        <w:tc>
          <w:tcPr>
            <w:tcW w:w="0" w:type="auto"/>
          </w:tcPr>
          <w:p w14:paraId="4ABCFAA5" w14:textId="77777777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8C34B5" w14:textId="65716859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D5A343" w14:textId="28758C18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9D58933" w14:textId="64C26CD2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A024B83" w14:textId="21A0331C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8F0991" w14:textId="101AAA41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29EB99" w14:textId="5A7FC400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6D91E5" w14:textId="309D6B4B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E78127" w14:textId="19F086BC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5F8A55" w14:textId="6D553BE4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128072" w14:textId="2D848142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BFB0E97" w14:textId="1A26E456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A6DF58C" w14:textId="4C1EFDCA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57EF41" w14:textId="730BE570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684">
              <w:rPr>
                <w:rFonts w:ascii="Times New Roman" w:hAnsi="Times New Roman" w:cs="Times New Roman"/>
                <w:sz w:val="24"/>
                <w:szCs w:val="24"/>
              </w:rPr>
              <w:t>Include lifecycle ROI and grant funding pathways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63AC" w:rsidRPr="00B01684" w14:paraId="51D992CE" w14:textId="77777777" w:rsidTr="000F2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5516B" w14:textId="77777777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684">
              <w:rPr>
                <w:rFonts w:ascii="Times New Roman" w:hAnsi="Times New Roman" w:cs="Times New Roman"/>
                <w:sz w:val="24"/>
                <w:szCs w:val="24"/>
              </w:rPr>
              <w:t>Bureaucratic pushback</w:t>
            </w:r>
          </w:p>
        </w:tc>
        <w:tc>
          <w:tcPr>
            <w:tcW w:w="0" w:type="auto"/>
          </w:tcPr>
          <w:p w14:paraId="435389D0" w14:textId="77777777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4CA19DF" w14:textId="4EE85D63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9F26F4" w14:textId="5DCEE23D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43018E" w14:textId="4BE4F531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01A7D4A" w14:textId="2FFD1CB4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E1991FD" w14:textId="7517E0DD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5D1974" w14:textId="746EEA25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65ECB52" w14:textId="3D400DC5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0DF167" w14:textId="7582CF7C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F9D6807" w14:textId="4152A197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2C040C" w14:textId="1F4AB20D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E83F56" w14:textId="1DD68EAB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D5F71A" w14:textId="496B9963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F14B10" w14:textId="5771B913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684">
              <w:rPr>
                <w:rFonts w:ascii="Times New Roman" w:hAnsi="Times New Roman" w:cs="Times New Roman"/>
                <w:sz w:val="24"/>
                <w:szCs w:val="24"/>
              </w:rPr>
              <w:t>Offering</w:t>
            </w:r>
            <w:r w:rsidRPr="00B01684">
              <w:rPr>
                <w:rFonts w:ascii="Times New Roman" w:hAnsi="Times New Roman" w:cs="Times New Roman"/>
                <w:sz w:val="24"/>
                <w:szCs w:val="24"/>
              </w:rPr>
              <w:t xml:space="preserve"> pre-built compliance &amp; zoning support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63AC" w:rsidRPr="00B01684" w14:paraId="09347369" w14:textId="77777777" w:rsidTr="000F2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DB8E" w14:textId="77777777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684">
              <w:rPr>
                <w:rFonts w:ascii="Times New Roman" w:hAnsi="Times New Roman" w:cs="Times New Roman"/>
                <w:sz w:val="24"/>
                <w:szCs w:val="24"/>
              </w:rPr>
              <w:t>Competitor entry</w:t>
            </w:r>
          </w:p>
        </w:tc>
        <w:tc>
          <w:tcPr>
            <w:tcW w:w="0" w:type="auto"/>
          </w:tcPr>
          <w:p w14:paraId="42B061CC" w14:textId="77777777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19BC24" w14:textId="76DACB26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5A9DCB2" w14:textId="384F6671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B6953CE" w14:textId="59A6236C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E367A4" w14:textId="519F6818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8971F3" w14:textId="0345553B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634900" w14:textId="16027D31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1DFCA4" w14:textId="57A65DA4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5DB2D1" w14:textId="6DAAEB9E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12B527" w14:textId="23F2C434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03EE69" w14:textId="24AC9D13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9C7698" w14:textId="72A41699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0392A4" w14:textId="4BD28DF3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B08D95" w14:textId="6B757B2E" w:rsidR="006F63AC" w:rsidRPr="00B01684" w:rsidRDefault="006F63AC" w:rsidP="00B0168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684">
              <w:rPr>
                <w:rFonts w:ascii="Times New Roman" w:hAnsi="Times New Roman" w:cs="Times New Roman"/>
                <w:sz w:val="24"/>
                <w:szCs w:val="24"/>
              </w:rPr>
              <w:t>Leverage early thought leadership and Riley meeting insights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C3C344C" w14:textId="77777777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pict w14:anchorId="2E0BDEB7">
          <v:rect id="_x0000_i1079" style="width:0;height:1.5pt" o:hralign="center" o:hrstd="t" o:hr="t" fillcolor="#a0a0a0" stroked="f"/>
        </w:pict>
      </w:r>
    </w:p>
    <w:p w14:paraId="131D5E70" w14:textId="77777777" w:rsidR="00456111" w:rsidRDefault="00456111" w:rsidP="00B01684">
      <w:pPr>
        <w:spacing w:after="0" w:line="48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282FF0B9" w14:textId="77777777" w:rsidR="00456111" w:rsidRDefault="00456111" w:rsidP="00B01684">
      <w:pPr>
        <w:spacing w:after="0" w:line="48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7F7A4026" w14:textId="77777777" w:rsidR="00456111" w:rsidRDefault="00456111" w:rsidP="00B01684">
      <w:pPr>
        <w:spacing w:after="0" w:line="48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6CAF2771" w14:textId="5232BC9A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68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 xml:space="preserve"> Next Steps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8294"/>
      </w:tblGrid>
      <w:tr w:rsidR="00776E70" w:rsidRPr="00B01684" w14:paraId="45628ACF" w14:textId="77777777" w:rsidTr="00525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9001B" w14:textId="77777777" w:rsidR="00B01684" w:rsidRPr="00B01684" w:rsidRDefault="00B01684" w:rsidP="00776E70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16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20D5CE92" w14:textId="77777777" w:rsidR="00B01684" w:rsidRPr="00B01684" w:rsidRDefault="00B01684" w:rsidP="00776E70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16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776E70" w:rsidRPr="00B01684" w14:paraId="1C977793" w14:textId="77777777" w:rsidTr="00525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403E2" w14:textId="77777777" w:rsidR="00B01684" w:rsidRPr="00B01684" w:rsidRDefault="00B01684" w:rsidP="00776E70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016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Week 1–2</w:t>
            </w:r>
          </w:p>
        </w:tc>
        <w:tc>
          <w:tcPr>
            <w:tcW w:w="0" w:type="auto"/>
            <w:vAlign w:val="center"/>
            <w:hideMark/>
          </w:tcPr>
          <w:p w14:paraId="2DC5E964" w14:textId="6F6F4F93" w:rsidR="00B01684" w:rsidRPr="00B01684" w:rsidRDefault="00B01684" w:rsidP="00776E70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016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Assemble </w:t>
            </w:r>
            <w:r w:rsidRPr="00C659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a </w:t>
            </w:r>
            <w:r w:rsidRPr="00B016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cross-functional pitch team</w:t>
            </w:r>
            <w:r w:rsidRPr="00C659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.</w:t>
            </w:r>
          </w:p>
        </w:tc>
      </w:tr>
      <w:tr w:rsidR="00776E70" w:rsidRPr="00B01684" w14:paraId="277E31C9" w14:textId="77777777" w:rsidTr="00525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2F87F" w14:textId="77777777" w:rsidR="00B01684" w:rsidRPr="00B01684" w:rsidRDefault="00B01684" w:rsidP="00776E70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B0168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Week 3–4</w:t>
            </w:r>
          </w:p>
        </w:tc>
        <w:tc>
          <w:tcPr>
            <w:tcW w:w="0" w:type="auto"/>
            <w:vAlign w:val="center"/>
            <w:hideMark/>
          </w:tcPr>
          <w:p w14:paraId="2D9425E3" w14:textId="2C0F4E44" w:rsidR="00B01684" w:rsidRPr="00B01684" w:rsidRDefault="00B01684" w:rsidP="00776E70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B0168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Develop and test pitch materials with 5–10 districts</w:t>
            </w:r>
            <w:r w:rsidRPr="00C6592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.</w:t>
            </w:r>
          </w:p>
        </w:tc>
      </w:tr>
      <w:tr w:rsidR="00776E70" w:rsidRPr="00B01684" w14:paraId="3B70483C" w14:textId="77777777" w:rsidTr="00525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8A7F7" w14:textId="77777777" w:rsidR="00B01684" w:rsidRPr="00B01684" w:rsidRDefault="00B01684" w:rsidP="00776E70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016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Month 2</w:t>
            </w:r>
          </w:p>
        </w:tc>
        <w:tc>
          <w:tcPr>
            <w:tcW w:w="0" w:type="auto"/>
            <w:vAlign w:val="center"/>
            <w:hideMark/>
          </w:tcPr>
          <w:p w14:paraId="11606E33" w14:textId="7C2F229F" w:rsidR="00B01684" w:rsidRPr="00B01684" w:rsidRDefault="00B01684" w:rsidP="00776E70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016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Launch </w:t>
            </w:r>
            <w:r w:rsidRPr="00C659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a </w:t>
            </w:r>
            <w:r w:rsidR="009D6D17" w:rsidRPr="00C659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comprehensive campaign and track it through a CRM (Customer Relationship Management) system</w:t>
            </w:r>
            <w:r w:rsidRPr="00C659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.</w:t>
            </w:r>
          </w:p>
        </w:tc>
      </w:tr>
      <w:tr w:rsidR="00776E70" w:rsidRPr="00B01684" w14:paraId="152E6A02" w14:textId="77777777" w:rsidTr="00525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FF7FE" w14:textId="77777777" w:rsidR="00B01684" w:rsidRPr="00B01684" w:rsidRDefault="00B01684" w:rsidP="00776E70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B0168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Q1 2026</w:t>
            </w:r>
          </w:p>
        </w:tc>
        <w:tc>
          <w:tcPr>
            <w:tcW w:w="0" w:type="auto"/>
            <w:vAlign w:val="center"/>
            <w:hideMark/>
          </w:tcPr>
          <w:p w14:paraId="7729AF13" w14:textId="6479CB5A" w:rsidR="00B01684" w:rsidRPr="00B01684" w:rsidRDefault="00B01684" w:rsidP="00776E70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B0168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Target first signed projects and </w:t>
            </w:r>
            <w:r w:rsidRPr="0045611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the </w:t>
            </w:r>
            <w:r w:rsidRPr="00B0168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revenue impact</w:t>
            </w:r>
            <w:r w:rsidRPr="0045611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.</w:t>
            </w:r>
          </w:p>
        </w:tc>
      </w:tr>
    </w:tbl>
    <w:p w14:paraId="30A59D2E" w14:textId="16BBD6BD" w:rsidR="00B01684" w:rsidRPr="00B01684" w:rsidRDefault="00776E70" w:rsidP="00B016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B01684" w:rsidRPr="00B01684">
        <w:rPr>
          <w:rFonts w:ascii="Times New Roman" w:hAnsi="Times New Roman" w:cs="Times New Roman"/>
          <w:sz w:val="24"/>
          <w:szCs w:val="24"/>
        </w:rPr>
        <w:pict w14:anchorId="186BD4DF">
          <v:rect id="_x0000_i1080" style="width:0;height:1.5pt" o:hralign="center" o:hrstd="t" o:hr="t" fillcolor="#a0a0a0" stroked="f"/>
        </w:pict>
      </w:r>
    </w:p>
    <w:p w14:paraId="5C8BA801" w14:textId="77777777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684">
        <w:rPr>
          <w:rFonts w:ascii="Segoe UI Emoji" w:hAnsi="Segoe UI Emoji" w:cs="Segoe UI Emoji"/>
          <w:b/>
          <w:bCs/>
          <w:sz w:val="24"/>
          <w:szCs w:val="24"/>
        </w:rPr>
        <w:t>🙌</w:t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 xml:space="preserve"> Final Thought</w:t>
      </w:r>
    </w:p>
    <w:p w14:paraId="74B91456" w14:textId="347B83DE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 xml:space="preserve">This is </w:t>
      </w:r>
      <w:r w:rsidR="006F63AC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opportunity to redefine how communities learn, live, and thrive</w:t>
      </w:r>
      <w:r w:rsidRPr="00B01684">
        <w:rPr>
          <w:rFonts w:ascii="Times New Roman" w:hAnsi="Times New Roman" w:cs="Times New Roman"/>
          <w:sz w:val="24"/>
          <w:szCs w:val="24"/>
        </w:rPr>
        <w:t xml:space="preserve"> together. </w:t>
      </w:r>
      <w:r>
        <w:rPr>
          <w:rFonts w:ascii="Times New Roman" w:hAnsi="Times New Roman" w:cs="Times New Roman"/>
          <w:sz w:val="24"/>
          <w:szCs w:val="24"/>
        </w:rPr>
        <w:t>We are</w:t>
      </w:r>
      <w:r w:rsidRPr="00B01684">
        <w:rPr>
          <w:rFonts w:ascii="Times New Roman" w:hAnsi="Times New Roman" w:cs="Times New Roman"/>
          <w:sz w:val="24"/>
          <w:szCs w:val="24"/>
        </w:rPr>
        <w:t xml:space="preserve"> uniquely positioned to lead this movement — we need </w:t>
      </w:r>
      <w:r w:rsidR="006F63AC">
        <w:rPr>
          <w:rFonts w:ascii="Times New Roman" w:hAnsi="Times New Roman" w:cs="Times New Roman"/>
          <w:sz w:val="24"/>
          <w:szCs w:val="24"/>
        </w:rPr>
        <w:t>your support and approval</w:t>
      </w:r>
      <w:r w:rsidRPr="00B01684">
        <w:rPr>
          <w:rFonts w:ascii="Times New Roman" w:hAnsi="Times New Roman" w:cs="Times New Roman"/>
          <w:sz w:val="24"/>
          <w:szCs w:val="24"/>
        </w:rPr>
        <w:t xml:space="preserve"> to move forward.</w:t>
      </w:r>
    </w:p>
    <w:p w14:paraId="7B4E2F9C" w14:textId="67323BB1" w:rsidR="00B01684" w:rsidRPr="00B01684" w:rsidRDefault="00B01684" w:rsidP="00B016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684">
        <w:rPr>
          <w:rFonts w:ascii="Times New Roman" w:hAnsi="Times New Roman" w:cs="Times New Roman"/>
          <w:sz w:val="24"/>
          <w:szCs w:val="24"/>
        </w:rPr>
        <w:t xml:space="preserve">Let’s build something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1684">
        <w:rPr>
          <w:rFonts w:ascii="Times New Roman" w:hAnsi="Times New Roman" w:cs="Times New Roman"/>
          <w:b/>
          <w:bCs/>
          <w:sz w:val="24"/>
          <w:szCs w:val="24"/>
        </w:rPr>
        <w:t>Community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1684">
        <w:rPr>
          <w:rFonts w:ascii="Times New Roman" w:hAnsi="Times New Roman" w:cs="Times New Roman"/>
          <w:sz w:val="24"/>
          <w:szCs w:val="24"/>
        </w:rPr>
        <w:t>that lasts.</w:t>
      </w:r>
    </w:p>
    <w:p w14:paraId="3EE5937B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857A02B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A833DE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DA7F7F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CF465AD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C5D79F" w14:textId="77777777" w:rsidR="00205620" w:rsidRPr="00105250" w:rsidRDefault="00205620" w:rsidP="001A3959">
      <w:pPr>
        <w:pStyle w:val="BodyText"/>
        <w:spacing w:line="480" w:lineRule="auto"/>
        <w:jc w:val="center"/>
        <w:rPr>
          <w:b/>
          <w:bCs/>
        </w:rPr>
      </w:pPr>
      <w:r w:rsidRPr="00105250">
        <w:rPr>
          <w:b/>
          <w:bCs/>
        </w:rPr>
        <w:lastRenderedPageBreak/>
        <w:t>References</w:t>
      </w:r>
    </w:p>
    <w:p w14:paraId="25362039" w14:textId="4EB1502F" w:rsidR="00B01684" w:rsidRPr="00B01684" w:rsidRDefault="00B01684" w:rsidP="008C16FF">
      <w:pPr>
        <w:pStyle w:val="BodyText"/>
        <w:spacing w:line="480" w:lineRule="auto"/>
        <w:ind w:left="720" w:hanging="720"/>
      </w:pPr>
      <w:r w:rsidRPr="00B01684">
        <w:t xml:space="preserve">21st Century School Fund. (2021). </w:t>
      </w:r>
      <w:r w:rsidRPr="00B01684">
        <w:rPr>
          <w:i/>
          <w:iCs/>
        </w:rPr>
        <w:t>State of our schools 2021: America’s PK–12 public school facilities</w:t>
      </w:r>
      <w:r w:rsidRPr="00B01684">
        <w:t>. https://stateofourschools.org</w:t>
      </w:r>
    </w:p>
    <w:p w14:paraId="287EFC3B" w14:textId="719B9F3A" w:rsidR="00B01684" w:rsidRPr="00B01684" w:rsidRDefault="00B01684" w:rsidP="008C16FF">
      <w:pPr>
        <w:pStyle w:val="BodyText"/>
        <w:spacing w:line="480" w:lineRule="auto"/>
        <w:ind w:left="720" w:hanging="720"/>
      </w:pPr>
      <w:r w:rsidRPr="00B01684">
        <w:t xml:space="preserve">AARP. (2000). </w:t>
      </w:r>
      <w:r w:rsidRPr="00B01684">
        <w:rPr>
          <w:i/>
          <w:iCs/>
        </w:rPr>
        <w:t>The community school concept: Creating stronger schools and communities</w:t>
      </w:r>
      <w:r w:rsidRPr="00B01684">
        <w:t>. AARP Public Policy Institute.</w:t>
      </w:r>
    </w:p>
    <w:p w14:paraId="2A9F2EE3" w14:textId="45CAB7FB" w:rsidR="00B01684" w:rsidRPr="00B01684" w:rsidRDefault="00B01684" w:rsidP="008C16FF">
      <w:pPr>
        <w:pStyle w:val="BodyText"/>
        <w:spacing w:line="480" w:lineRule="auto"/>
        <w:ind w:left="720" w:hanging="720"/>
      </w:pPr>
      <w:r w:rsidRPr="00B01684">
        <w:t xml:space="preserve">National Center for Education Statistics. (2023). </w:t>
      </w:r>
      <w:r w:rsidRPr="00B01684">
        <w:rPr>
          <w:i/>
          <w:iCs/>
        </w:rPr>
        <w:t>Projected number of students, by grade level and control of school: Fall 2020 through fall 2029</w:t>
      </w:r>
      <w:r w:rsidRPr="00B01684">
        <w:t>. https://nces.ed.gov</w:t>
      </w:r>
    </w:p>
    <w:p w14:paraId="5F010120" w14:textId="53EA41C9" w:rsidR="000668E4" w:rsidRDefault="000668E4" w:rsidP="008C16FF">
      <w:pPr>
        <w:pStyle w:val="BodyText"/>
        <w:spacing w:line="480" w:lineRule="auto"/>
        <w:ind w:left="720" w:hanging="720"/>
      </w:pPr>
      <w:r w:rsidRPr="000668E4">
        <w:t xml:space="preserve">Kolin, P. C. (2022). Multiuse campuses: A plan that works, p. 458. In </w:t>
      </w:r>
      <w:r w:rsidRPr="000668E4">
        <w:rPr>
          <w:i/>
          <w:iCs/>
        </w:rPr>
        <w:t>Successful writing at work</w:t>
      </w:r>
      <w:r w:rsidRPr="000668E4">
        <w:t> (12th ed.). Cengage.</w:t>
      </w:r>
    </w:p>
    <w:p w14:paraId="713FB43F" w14:textId="54992B67" w:rsidR="005A7DB6" w:rsidRDefault="005A7DB6" w:rsidP="008C16FF">
      <w:pPr>
        <w:pStyle w:val="BodyText"/>
        <w:spacing w:line="480" w:lineRule="auto"/>
        <w:ind w:left="720" w:hanging="720"/>
      </w:pPr>
      <w:r w:rsidRPr="005A7DB6">
        <w:t>Kolin, P. C. (2022). Successful Writing At Work (12th ed.). Cengage Learning US. https://ambassadored.vitalsource.com/books/9798214353685</w:t>
      </w:r>
    </w:p>
    <w:p w14:paraId="37D690EF" w14:textId="4DC022B9" w:rsidR="00B01684" w:rsidRPr="00B01684" w:rsidRDefault="00B01684" w:rsidP="008C16FF">
      <w:pPr>
        <w:pStyle w:val="BodyText"/>
        <w:spacing w:line="480" w:lineRule="auto"/>
        <w:ind w:left="720" w:hanging="720"/>
      </w:pPr>
      <w:r w:rsidRPr="00B01684">
        <w:t xml:space="preserve">Riley, R. W. (2000). </w:t>
      </w:r>
      <w:r w:rsidRPr="00B01684">
        <w:rPr>
          <w:i/>
          <w:iCs/>
        </w:rPr>
        <w:t>Remarks at the National Community School Forum</w:t>
      </w:r>
      <w:r w:rsidRPr="00B01684">
        <w:t>. U.S. Department of Education. https://www.ed.gov</w:t>
      </w:r>
    </w:p>
    <w:p w14:paraId="3D82EBD4" w14:textId="51B9C052" w:rsidR="00B01684" w:rsidRPr="00B01684" w:rsidRDefault="00B01684" w:rsidP="008C16FF">
      <w:pPr>
        <w:pStyle w:val="BodyText"/>
        <w:spacing w:line="480" w:lineRule="auto"/>
        <w:ind w:left="720" w:hanging="720"/>
      </w:pPr>
      <w:r w:rsidRPr="00B01684">
        <w:t xml:space="preserve">U.S. Government Accountability Office. (2020). </w:t>
      </w:r>
      <w:r w:rsidRPr="00B01684">
        <w:rPr>
          <w:i/>
          <w:iCs/>
        </w:rPr>
        <w:t>School facilities: Condition of America's public school buildings</w:t>
      </w:r>
      <w:r w:rsidRPr="00B01684">
        <w:t>. GAO-20-494. https://www.gao.gov/products/gao-20-494</w:t>
      </w:r>
    </w:p>
    <w:p w14:paraId="41F4DD72" w14:textId="77777777" w:rsidR="00205620" w:rsidRPr="00B762E5" w:rsidRDefault="00205620" w:rsidP="00205620">
      <w:pPr>
        <w:pStyle w:val="BodyText"/>
        <w:spacing w:line="480" w:lineRule="auto"/>
      </w:pPr>
    </w:p>
    <w:p w14:paraId="69E04284" w14:textId="77777777" w:rsidR="00205620" w:rsidRPr="00B762E5" w:rsidRDefault="00205620" w:rsidP="00205620">
      <w:pPr>
        <w:tabs>
          <w:tab w:val="left" w:pos="341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F51059" w14:textId="77777777" w:rsidR="00914C89" w:rsidRDefault="00914C89"/>
    <w:sectPr w:rsidR="00914C89" w:rsidSect="00AB7B30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03F13" w14:textId="77777777" w:rsidR="00A62490" w:rsidRDefault="00A62490">
      <w:pPr>
        <w:spacing w:after="0" w:line="240" w:lineRule="auto"/>
      </w:pPr>
      <w:r>
        <w:separator/>
      </w:r>
    </w:p>
  </w:endnote>
  <w:endnote w:type="continuationSeparator" w:id="0">
    <w:p w14:paraId="351D3BF0" w14:textId="77777777" w:rsidR="00A62490" w:rsidRDefault="00A62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E39A0" w14:textId="77777777" w:rsidR="00A62490" w:rsidRDefault="00A62490">
      <w:pPr>
        <w:spacing w:after="0" w:line="240" w:lineRule="auto"/>
      </w:pPr>
      <w:r>
        <w:separator/>
      </w:r>
    </w:p>
  </w:footnote>
  <w:footnote w:type="continuationSeparator" w:id="0">
    <w:p w14:paraId="44A5C76B" w14:textId="77777777" w:rsidR="00A62490" w:rsidRDefault="00A62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6338891"/>
      <w:docPartObj>
        <w:docPartGallery w:val="Page Numbers (Top of Page)"/>
        <w:docPartUnique/>
      </w:docPartObj>
    </w:sdtPr>
    <w:sdtContent>
      <w:p w14:paraId="5B64B591" w14:textId="77777777" w:rsidR="00000000" w:rsidRDefault="00205620" w:rsidP="00056C4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965FEE" w14:textId="77777777" w:rsidR="00000000" w:rsidRDefault="00000000" w:rsidP="008C58C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-16195258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B7A452" w14:textId="77777777" w:rsidR="00000000" w:rsidRPr="00E3618C" w:rsidRDefault="00205620" w:rsidP="00E3618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3618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618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3618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3618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3618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9FDE7" w14:textId="77777777" w:rsidR="00000000" w:rsidRPr="00B762E5" w:rsidRDefault="00205620">
    <w:pPr>
      <w:pStyle w:val="Header"/>
      <w:rPr>
        <w:rFonts w:ascii="Times New Roman" w:hAnsi="Times New Roman" w:cs="Times New Roman"/>
        <w:sz w:val="24"/>
        <w:szCs w:val="24"/>
      </w:rPr>
    </w:pPr>
    <w:r w:rsidRPr="00B762E5">
      <w:rPr>
        <w:rFonts w:ascii="Times New Roman" w:hAnsi="Times New Roman" w:cs="Times New Roman"/>
        <w:sz w:val="24"/>
        <w:szCs w:val="24"/>
      </w:rPr>
      <w:tab/>
    </w:r>
    <w:r w:rsidRPr="00B762E5">
      <w:rPr>
        <w:rFonts w:ascii="Times New Roman" w:hAnsi="Times New Roman" w:cs="Times New Roman"/>
        <w:sz w:val="24"/>
        <w:szCs w:val="24"/>
      </w:rPr>
      <w:tab/>
    </w:r>
  </w:p>
  <w:p w14:paraId="374E8267" w14:textId="77777777" w:rsidR="00000000" w:rsidRPr="001F36BB" w:rsidRDefault="0000000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13A90"/>
    <w:multiLevelType w:val="multilevel"/>
    <w:tmpl w:val="B24E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D685F"/>
    <w:multiLevelType w:val="multilevel"/>
    <w:tmpl w:val="B3A0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A5227"/>
    <w:multiLevelType w:val="multilevel"/>
    <w:tmpl w:val="D40C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5421FF"/>
    <w:multiLevelType w:val="multilevel"/>
    <w:tmpl w:val="BD94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63769"/>
    <w:multiLevelType w:val="multilevel"/>
    <w:tmpl w:val="FB64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E05D0"/>
    <w:multiLevelType w:val="multilevel"/>
    <w:tmpl w:val="6ABC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420DC"/>
    <w:multiLevelType w:val="multilevel"/>
    <w:tmpl w:val="B9E6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E5D14"/>
    <w:multiLevelType w:val="multilevel"/>
    <w:tmpl w:val="1484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4E4B5F"/>
    <w:multiLevelType w:val="multilevel"/>
    <w:tmpl w:val="74EC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DD19FF"/>
    <w:multiLevelType w:val="multilevel"/>
    <w:tmpl w:val="1EE2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7F2141"/>
    <w:multiLevelType w:val="multilevel"/>
    <w:tmpl w:val="C354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AE28ED"/>
    <w:multiLevelType w:val="multilevel"/>
    <w:tmpl w:val="A1B2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6342F"/>
    <w:multiLevelType w:val="multilevel"/>
    <w:tmpl w:val="3968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754275">
    <w:abstractNumId w:val="10"/>
  </w:num>
  <w:num w:numId="2" w16cid:durableId="787554893">
    <w:abstractNumId w:val="9"/>
  </w:num>
  <w:num w:numId="3" w16cid:durableId="461533768">
    <w:abstractNumId w:val="0"/>
  </w:num>
  <w:num w:numId="4" w16cid:durableId="1458379902">
    <w:abstractNumId w:val="2"/>
  </w:num>
  <w:num w:numId="5" w16cid:durableId="1978491215">
    <w:abstractNumId w:val="7"/>
  </w:num>
  <w:num w:numId="6" w16cid:durableId="1231624283">
    <w:abstractNumId w:val="8"/>
  </w:num>
  <w:num w:numId="7" w16cid:durableId="1202353619">
    <w:abstractNumId w:val="6"/>
  </w:num>
  <w:num w:numId="8" w16cid:durableId="1808666100">
    <w:abstractNumId w:val="11"/>
  </w:num>
  <w:num w:numId="9" w16cid:durableId="517275955">
    <w:abstractNumId w:val="12"/>
  </w:num>
  <w:num w:numId="10" w16cid:durableId="504521021">
    <w:abstractNumId w:val="4"/>
  </w:num>
  <w:num w:numId="11" w16cid:durableId="762531812">
    <w:abstractNumId w:val="5"/>
  </w:num>
  <w:num w:numId="12" w16cid:durableId="1576621645">
    <w:abstractNumId w:val="3"/>
  </w:num>
  <w:num w:numId="13" w16cid:durableId="1865052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20"/>
    <w:rsid w:val="00006450"/>
    <w:rsid w:val="000668E4"/>
    <w:rsid w:val="0019687E"/>
    <w:rsid w:val="001A3959"/>
    <w:rsid w:val="001E3EEB"/>
    <w:rsid w:val="00205620"/>
    <w:rsid w:val="00344490"/>
    <w:rsid w:val="00456111"/>
    <w:rsid w:val="0052559E"/>
    <w:rsid w:val="005401E3"/>
    <w:rsid w:val="005A7DB6"/>
    <w:rsid w:val="006F63AC"/>
    <w:rsid w:val="00776E70"/>
    <w:rsid w:val="008C16FF"/>
    <w:rsid w:val="00914C89"/>
    <w:rsid w:val="009D6D17"/>
    <w:rsid w:val="00A144AD"/>
    <w:rsid w:val="00A62490"/>
    <w:rsid w:val="00B01684"/>
    <w:rsid w:val="00B202AB"/>
    <w:rsid w:val="00C26C2A"/>
    <w:rsid w:val="00C42930"/>
    <w:rsid w:val="00C6592E"/>
    <w:rsid w:val="00C8178E"/>
    <w:rsid w:val="00DC7CE2"/>
    <w:rsid w:val="00E3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DEF75"/>
  <w15:chartTrackingRefBased/>
  <w15:docId w15:val="{BD3AB29F-9678-4EF2-8A03-E55C185A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620"/>
  </w:style>
  <w:style w:type="paragraph" w:styleId="Footer">
    <w:name w:val="footer"/>
    <w:basedOn w:val="Normal"/>
    <w:link w:val="FooterChar"/>
    <w:uiPriority w:val="99"/>
    <w:unhideWhenUsed/>
    <w:rsid w:val="00205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620"/>
  </w:style>
  <w:style w:type="paragraph" w:styleId="BodyText">
    <w:name w:val="Body Text"/>
    <w:basedOn w:val="Normal"/>
    <w:link w:val="BodyTextChar"/>
    <w:uiPriority w:val="1"/>
    <w:qFormat/>
    <w:rsid w:val="002056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05620"/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205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4130D169CE1548A62CF280B6D3BF39" ma:contentTypeVersion="12" ma:contentTypeDescription="Create a new document." ma:contentTypeScope="" ma:versionID="3a88ee0bc6cc0f31d4a140601d1b0266">
  <xsd:schema xmlns:xsd="http://www.w3.org/2001/XMLSchema" xmlns:xs="http://www.w3.org/2001/XMLSchema" xmlns:p="http://schemas.microsoft.com/office/2006/metadata/properties" xmlns:ns3="4d99d273-d75a-4d0b-ad1a-839c65690e36" xmlns:ns4="3ee53872-06c7-4794-9beb-1244465d5e2b" targetNamespace="http://schemas.microsoft.com/office/2006/metadata/properties" ma:root="true" ma:fieldsID="8fd06920d97cbfede4368322fd4a2fe4" ns3:_="" ns4:_="">
    <xsd:import namespace="4d99d273-d75a-4d0b-ad1a-839c65690e36"/>
    <xsd:import namespace="3ee53872-06c7-4794-9beb-1244465d5e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9d273-d75a-4d0b-ad1a-839c65690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53872-06c7-4794-9beb-1244465d5e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BACB49-0358-44C7-A809-B3F95CF6E9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B46943-8EC5-4CEB-AEE4-A806637E04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99d273-d75a-4d0b-ad1a-839c65690e36"/>
    <ds:schemaRef ds:uri="3ee53872-06c7-4794-9beb-1244465d5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D0AAED-48EC-4DE4-A2BC-2057856285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886</Words>
  <Characters>5163</Characters>
  <Application>Microsoft Office Word</Application>
  <DocSecurity>0</DocSecurity>
  <Lines>224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ENG130 Title Page Template APA 7th edition</vt:lpstr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ENG130 Title Page Template APA 7th edition</dc:title>
  <dc:subject/>
  <dc:creator>Dressel, Lucia</dc:creator>
  <cp:keywords/>
  <dc:description/>
  <cp:lastModifiedBy>Chad Cooper</cp:lastModifiedBy>
  <cp:revision>15</cp:revision>
  <dcterms:created xsi:type="dcterms:W3CDTF">2025-10-05T23:48:00Z</dcterms:created>
  <dcterms:modified xsi:type="dcterms:W3CDTF">2025-10-06T00:04:00Z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0x010100634130D169CE1548A62CF280B6D3BF39</vt:lpwstr>
  </property>
  <property fmtid="{D5CDD505-2E9C-101B-9397-08002B2CF9AE}" pid="3" name="GrammarlyDocumentId">
    <vt:lpwstr>c87622c54540d6940108e52ede84ff66ca525431a3fbd647106349828b814eb0</vt:lpwstr>
  </property>
</Properties>
</file>