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555EA" w14:textId="7B434895" w:rsidR="005B549D" w:rsidRDefault="005B549D">
      <w:r>
        <w:t>Our initial collection of data sets included various components needed for analysis. We were able to secure the data need to evaluate relationships between the virus and unemployment, vaccine distribution, contributors to the spread of the virus, and how the virus has impacted altered the health of the nation. This data was collected from the CDC, Bureau of Labor Statistics, US Census, as well as various data sites including Dataworld.com and Keggel.com.</w:t>
      </w:r>
    </w:p>
    <w:p w14:paraId="03475E6F" w14:textId="74874266" w:rsidR="005B549D" w:rsidRPr="00720768" w:rsidRDefault="005B549D" w:rsidP="005B549D">
      <w:pPr>
        <w:pStyle w:val="NoSpacing"/>
        <w:rPr>
          <w:b/>
          <w:bCs/>
        </w:rPr>
      </w:pPr>
      <w:r w:rsidRPr="00720768">
        <w:rPr>
          <w:b/>
          <w:bCs/>
        </w:rPr>
        <w:t>Analysis of Vaccine Distribution to the US</w:t>
      </w:r>
    </w:p>
    <w:p w14:paraId="790533A6" w14:textId="77777777" w:rsidR="005B549D" w:rsidRDefault="005B549D" w:rsidP="005B549D">
      <w:pPr>
        <w:pStyle w:val="NoSpacing"/>
      </w:pPr>
      <w:r>
        <w:t>Did the Government Distribute the Vaccine as they described?</w:t>
      </w:r>
    </w:p>
    <w:p w14:paraId="14E8BE3A" w14:textId="77777777" w:rsidR="005B549D" w:rsidRDefault="005B549D" w:rsidP="005B549D">
      <w:pPr>
        <w:pStyle w:val="NoSpacing"/>
      </w:pPr>
      <w:r>
        <w:t>What possible considerations did the government consider when planning the distribution of the vaccines?</w:t>
      </w:r>
    </w:p>
    <w:p w14:paraId="1FDF0D3E" w14:textId="5F447609" w:rsidR="005B549D" w:rsidRDefault="005B549D" w:rsidP="005B549D">
      <w:pPr>
        <w:pStyle w:val="NoSpacing"/>
      </w:pPr>
    </w:p>
    <w:p w14:paraId="319C0F48" w14:textId="25AC223A" w:rsidR="00121783" w:rsidRDefault="005B549D" w:rsidP="005B549D">
      <w:pPr>
        <w:pStyle w:val="NoSpacing"/>
      </w:pPr>
      <w:r>
        <w:t xml:space="preserve">While compiling the data needed to review the distribution of Vaccines to various </w:t>
      </w:r>
      <w:r w:rsidR="00121783">
        <w:t xml:space="preserve">effects of the virus such as confirmed cases, deaths, age, gender, population, population density. It was discovered that information </w:t>
      </w:r>
      <w:r w:rsidR="00A174F4">
        <w:t>within</w:t>
      </w:r>
      <w:r w:rsidR="00121783">
        <w:t xml:space="preserve"> the CDC Provisional statistics pertaining to age were inconsistent with gender statistics. Upon reviewing state level case </w:t>
      </w:r>
      <w:r w:rsidR="00A174F4">
        <w:t>statistics,</w:t>
      </w:r>
      <w:r w:rsidR="00121783">
        <w:t xml:space="preserve"> it was decided to move forward without age grouped information as it did not match state level while gender statistics matched. </w:t>
      </w:r>
    </w:p>
    <w:p w14:paraId="4EC17B63" w14:textId="18F8AEFF" w:rsidR="00121783" w:rsidRDefault="00121783" w:rsidP="005B549D">
      <w:pPr>
        <w:pStyle w:val="NoSpacing"/>
      </w:pPr>
    </w:p>
    <w:p w14:paraId="175E2F7A" w14:textId="7FF44C6C" w:rsidR="00A174F4" w:rsidRDefault="00A174F4" w:rsidP="005B549D">
      <w:pPr>
        <w:pStyle w:val="NoSpacing"/>
      </w:pPr>
      <w:r>
        <w:t>We reviewed three potential scenarios to find the methodology applied to the distribution of the vaccine.</w:t>
      </w:r>
    </w:p>
    <w:p w14:paraId="084A1430" w14:textId="4756CAE1" w:rsidR="00A174F4" w:rsidRDefault="00A174F4" w:rsidP="00A174F4">
      <w:pPr>
        <w:pStyle w:val="NoSpacing"/>
        <w:numPr>
          <w:ilvl w:val="0"/>
          <w:numId w:val="1"/>
        </w:numPr>
      </w:pPr>
      <w:r>
        <w:t>Total Allocated Dosage vs Population Density</w:t>
      </w:r>
    </w:p>
    <w:p w14:paraId="039FB126" w14:textId="7BF48836" w:rsidR="00A174F4" w:rsidRDefault="00A174F4" w:rsidP="00A174F4">
      <w:pPr>
        <w:pStyle w:val="NoSpacing"/>
        <w:ind w:left="720"/>
      </w:pPr>
      <w:r>
        <w:t>We looked at this relationship due to the ease of spread of the virus. We expected that more densely populated state would exhibit greater spread and be in higher need of the vaccine. This was not the case as there was virtually no relationship (correlation factor of .17) between the distribution and how many people were located per square mile.</w:t>
      </w:r>
    </w:p>
    <w:p w14:paraId="6A3E5AB3" w14:textId="02D085DD" w:rsidR="00A174F4" w:rsidRDefault="00A174F4" w:rsidP="00A174F4">
      <w:pPr>
        <w:pStyle w:val="NoSpacing"/>
        <w:numPr>
          <w:ilvl w:val="0"/>
          <w:numId w:val="1"/>
        </w:numPr>
      </w:pPr>
      <w:r>
        <w:t xml:space="preserve">Total Allocated </w:t>
      </w:r>
      <w:r w:rsidR="001C5B23">
        <w:t>Dosage vs</w:t>
      </w:r>
      <w:r>
        <w:t xml:space="preserve"> CDC total confirmed cases per state</w:t>
      </w:r>
    </w:p>
    <w:p w14:paraId="1921DF07" w14:textId="7C4596DE" w:rsidR="00A174F4" w:rsidRDefault="00A174F4" w:rsidP="00A174F4">
      <w:pPr>
        <w:pStyle w:val="NoSpacing"/>
        <w:ind w:left="720"/>
      </w:pPr>
      <w:r>
        <w:t xml:space="preserve">While reviewing this relationship we expected there to potentially be a strong relationship between the </w:t>
      </w:r>
      <w:r w:rsidR="001C5B23">
        <w:t>distribution</w:t>
      </w:r>
      <w:r>
        <w:t xml:space="preserve"> and total confirmed cases to help slow the spread and work to heard immunity th</w:t>
      </w:r>
      <w:r w:rsidR="001C5B23">
        <w:t xml:space="preserve">ere was a strong relationship between these variables of .97. </w:t>
      </w:r>
    </w:p>
    <w:p w14:paraId="220A55AD" w14:textId="7968BFB8" w:rsidR="001C5B23" w:rsidRDefault="001C5B23" w:rsidP="001C5B23">
      <w:pPr>
        <w:pStyle w:val="NoSpacing"/>
        <w:numPr>
          <w:ilvl w:val="0"/>
          <w:numId w:val="1"/>
        </w:numPr>
      </w:pPr>
      <w:r>
        <w:t xml:space="preserve">Total Allocated Dosage vs Population </w:t>
      </w:r>
    </w:p>
    <w:p w14:paraId="428FFE10" w14:textId="30F0F69C" w:rsidR="001C5B23" w:rsidRDefault="001C5B23" w:rsidP="001C5B23">
      <w:pPr>
        <w:pStyle w:val="NoSpacing"/>
        <w:ind w:left="720"/>
      </w:pPr>
      <w:r>
        <w:t xml:space="preserve">The near perfect correlation of .99 between these data sets show that the government followed thorough with their roll out of the vaccine based on population. The relationship posed a few additional questions we reviewed from our data.  </w:t>
      </w:r>
    </w:p>
    <w:p w14:paraId="6AB4DC61" w14:textId="77777777" w:rsidR="00A174F4" w:rsidRDefault="00A174F4" w:rsidP="001C5B23">
      <w:pPr>
        <w:pStyle w:val="NoSpacing"/>
        <w:ind w:left="720"/>
      </w:pPr>
    </w:p>
    <w:p w14:paraId="376E2E72" w14:textId="77777777" w:rsidR="00A174F4" w:rsidRDefault="00A174F4" w:rsidP="005B549D">
      <w:pPr>
        <w:pStyle w:val="NoSpacing"/>
      </w:pPr>
    </w:p>
    <w:p w14:paraId="040B32A0" w14:textId="5FEFAC37" w:rsidR="005B549D" w:rsidRDefault="00121783" w:rsidP="005B549D">
      <w:pPr>
        <w:pStyle w:val="NoSpacing"/>
      </w:pPr>
      <w:r>
        <w:t xml:space="preserve">While developing the answers to why the government distributed the </w:t>
      </w:r>
      <w:r w:rsidR="00A174F4">
        <w:t>vaccine</w:t>
      </w:r>
      <w:r w:rsidR="001C5B23">
        <w:t xml:space="preserve"> as they did</w:t>
      </w:r>
      <w:r w:rsidR="00A174F4">
        <w:t>,</w:t>
      </w:r>
      <w:r>
        <w:t xml:space="preserve"> we explored a few additional questions that arose. It is heavily reported on the ease at which this virus spreads. We looked to see if there was a correlation between CDC confirmed cases and Population Density. Much to our surprise population density only had a correlation factor of .14 while CDC confirmed cases and </w:t>
      </w:r>
      <w:r w:rsidR="00A174F4">
        <w:t xml:space="preserve">Total Population showed a near perfect correlation of .98. </w:t>
      </w:r>
      <w:r>
        <w:t xml:space="preserve"> </w:t>
      </w:r>
    </w:p>
    <w:p w14:paraId="08AE9672" w14:textId="2CCE4C70" w:rsidR="001C5B23" w:rsidRDefault="001C5B23" w:rsidP="005B549D">
      <w:pPr>
        <w:pStyle w:val="NoSpacing"/>
      </w:pPr>
    </w:p>
    <w:p w14:paraId="015720EF" w14:textId="777E6959" w:rsidR="001C5B23" w:rsidRDefault="001C5B23" w:rsidP="005B549D">
      <w:pPr>
        <w:pStyle w:val="NoSpacing"/>
      </w:pPr>
      <w:r>
        <w:t xml:space="preserve">We also reviewed to see if there </w:t>
      </w:r>
      <w:r w:rsidR="00714CA7">
        <w:t>were</w:t>
      </w:r>
      <w:r>
        <w:t xml:space="preserve"> any relationships between the Pfizer and </w:t>
      </w:r>
      <w:proofErr w:type="spellStart"/>
      <w:r>
        <w:t>Moder</w:t>
      </w:r>
      <w:r w:rsidR="007B7149">
        <w:t>n</w:t>
      </w:r>
      <w:r>
        <w:t>a</w:t>
      </w:r>
      <w:proofErr w:type="spellEnd"/>
      <w:r>
        <w:t xml:space="preserve"> vaccines. We found no clear relationships to the breakdown of distribution of the </w:t>
      </w:r>
      <w:r w:rsidR="00720768">
        <w:t>manufacturers</w:t>
      </w:r>
      <w:r>
        <w:t>. The only</w:t>
      </w:r>
      <w:r w:rsidR="00720768">
        <w:t xml:space="preserve"> relationship was the total allocations to the total populations. </w:t>
      </w:r>
      <w:r>
        <w:t xml:space="preserve"> </w:t>
      </w:r>
    </w:p>
    <w:p w14:paraId="6C715A6A" w14:textId="53A68F50" w:rsidR="00A174F4" w:rsidRDefault="00A174F4" w:rsidP="005B549D">
      <w:pPr>
        <w:pStyle w:val="NoSpacing"/>
      </w:pPr>
    </w:p>
    <w:p w14:paraId="2FB3E23C" w14:textId="77777777" w:rsidR="007B7149" w:rsidRDefault="007B7149" w:rsidP="005B549D">
      <w:pPr>
        <w:pStyle w:val="NoSpacing"/>
        <w:rPr>
          <w:b/>
          <w:bCs/>
        </w:rPr>
      </w:pPr>
    </w:p>
    <w:p w14:paraId="0E48E095" w14:textId="77777777" w:rsidR="007B7149" w:rsidRDefault="007B7149" w:rsidP="005B549D">
      <w:pPr>
        <w:pStyle w:val="NoSpacing"/>
        <w:rPr>
          <w:b/>
          <w:bCs/>
        </w:rPr>
      </w:pPr>
    </w:p>
    <w:p w14:paraId="4F822B57" w14:textId="6C9660EA" w:rsidR="007B7149" w:rsidRDefault="007B7149" w:rsidP="005B549D">
      <w:pPr>
        <w:pStyle w:val="NoSpacing"/>
        <w:rPr>
          <w:b/>
          <w:bCs/>
        </w:rPr>
      </w:pPr>
    </w:p>
    <w:p w14:paraId="01312257" w14:textId="6021F147" w:rsidR="00413748" w:rsidRDefault="00413748" w:rsidP="00413748">
      <w:pPr>
        <w:pStyle w:val="NoSpacing"/>
        <w:rPr>
          <w:b/>
          <w:bCs/>
        </w:rPr>
      </w:pPr>
      <w:r w:rsidRPr="00720768">
        <w:rPr>
          <w:b/>
          <w:bCs/>
        </w:rPr>
        <w:lastRenderedPageBreak/>
        <w:t xml:space="preserve">Analysis of </w:t>
      </w:r>
      <w:r>
        <w:rPr>
          <w:b/>
          <w:bCs/>
        </w:rPr>
        <w:t xml:space="preserve">Passenger Count on the top 10 Airports in the </w:t>
      </w:r>
      <w:r w:rsidRPr="00720768">
        <w:rPr>
          <w:b/>
          <w:bCs/>
        </w:rPr>
        <w:t>US</w:t>
      </w:r>
      <w:r w:rsidR="00231142">
        <w:rPr>
          <w:b/>
          <w:bCs/>
        </w:rPr>
        <w:t>:</w:t>
      </w:r>
    </w:p>
    <w:p w14:paraId="11322862" w14:textId="77777777" w:rsidR="00231142" w:rsidRPr="00231142" w:rsidRDefault="00231142" w:rsidP="00413748">
      <w:pPr>
        <w:pStyle w:val="NoSpacing"/>
        <w:rPr>
          <w:b/>
          <w:bCs/>
          <w:sz w:val="16"/>
          <w:szCs w:val="16"/>
        </w:rPr>
      </w:pPr>
    </w:p>
    <w:p w14:paraId="54FF0B51" w14:textId="69DFE8C5" w:rsidR="00413748" w:rsidRDefault="00413748" w:rsidP="00413748">
      <w:pPr>
        <w:pStyle w:val="NoSpacing"/>
      </w:pPr>
      <w:r>
        <w:t xml:space="preserve">Does the additional Passenger Count </w:t>
      </w:r>
      <w:r w:rsidR="002C37EF">
        <w:t xml:space="preserve">from the local airports </w:t>
      </w:r>
      <w:r>
        <w:t xml:space="preserve">going in and out of a state have an impact on the </w:t>
      </w:r>
      <w:r w:rsidR="00892975">
        <w:t>COVID-19</w:t>
      </w:r>
      <w:r>
        <w:t xml:space="preserve"> case count within that state?</w:t>
      </w:r>
    </w:p>
    <w:p w14:paraId="66A447FD" w14:textId="49A0C35C" w:rsidR="00413748" w:rsidRDefault="00413748" w:rsidP="00413748">
      <w:pPr>
        <w:pStyle w:val="NoSpacing"/>
      </w:pPr>
    </w:p>
    <w:p w14:paraId="50F40125" w14:textId="1C3222D5" w:rsidR="00231142" w:rsidRDefault="009F7020" w:rsidP="00413748">
      <w:pPr>
        <w:pStyle w:val="NoSpacing"/>
      </w:pPr>
      <w:r>
        <w:t xml:space="preserve">We developed a </w:t>
      </w:r>
      <w:r w:rsidR="002C37EF">
        <w:t>t</w:t>
      </w:r>
      <w:r w:rsidR="00231142">
        <w:t>heory</w:t>
      </w:r>
      <w:r>
        <w:t xml:space="preserve"> on what</w:t>
      </w:r>
      <w:r w:rsidR="00231142">
        <w:t xml:space="preserve"> we concluded about the effect</w:t>
      </w:r>
      <w:r w:rsidR="00BC6F61">
        <w:t xml:space="preserve"> that</w:t>
      </w:r>
      <w:r w:rsidR="00231142">
        <w:t xml:space="preserve"> the airports have on the </w:t>
      </w:r>
      <w:r w:rsidR="00892975">
        <w:t>COVID-19</w:t>
      </w:r>
      <w:r w:rsidR="00231142">
        <w:t xml:space="preserve"> cases: </w:t>
      </w:r>
    </w:p>
    <w:p w14:paraId="663E444C" w14:textId="27F71A9B" w:rsidR="00413748" w:rsidRDefault="00231142" w:rsidP="009F7020">
      <w:pPr>
        <w:pStyle w:val="NoSpacing"/>
        <w:ind w:left="720"/>
      </w:pPr>
      <w:r>
        <w:t xml:space="preserve">The </w:t>
      </w:r>
      <w:r w:rsidRPr="00413748">
        <w:t xml:space="preserve">correlation between the top 10 US airports with the </w:t>
      </w:r>
      <w:r w:rsidR="002C37EF">
        <w:t xml:space="preserve">airport </w:t>
      </w:r>
      <w:r w:rsidRPr="00413748">
        <w:t xml:space="preserve">passenger count </w:t>
      </w:r>
      <w:r w:rsidR="002C37EF">
        <w:t>of</w:t>
      </w:r>
      <w:r w:rsidRPr="00413748">
        <w:t xml:space="preserve"> the top 10 states with the highest Covid-19 case count</w:t>
      </w:r>
      <w:r>
        <w:t xml:space="preserve"> should have a great impact on the case counts with that area.</w:t>
      </w:r>
    </w:p>
    <w:p w14:paraId="75C866AF" w14:textId="77777777" w:rsidR="00231142" w:rsidRDefault="00231142" w:rsidP="00413748">
      <w:pPr>
        <w:pStyle w:val="NoSpacing"/>
      </w:pPr>
    </w:p>
    <w:p w14:paraId="7BB6B347" w14:textId="77777777" w:rsidR="009F7020" w:rsidRDefault="00413748" w:rsidP="00413748">
      <w:r>
        <w:t xml:space="preserve">We </w:t>
      </w:r>
      <w:r w:rsidR="00231142">
        <w:t xml:space="preserve">first </w:t>
      </w:r>
      <w:r>
        <w:t xml:space="preserve">discussed our theory that the extra traffic coming and going in any give airport would have a great impact on the </w:t>
      </w:r>
      <w:r w:rsidR="00892975">
        <w:t>COVID-19</w:t>
      </w:r>
      <w:r>
        <w:t xml:space="preserve"> case count within that area. </w:t>
      </w:r>
      <w:r w:rsidR="00231142">
        <w:t xml:space="preserve">To support the theory, we </w:t>
      </w:r>
      <w:r w:rsidRPr="00413748">
        <w:t xml:space="preserve">got the top 10 US airports form </w:t>
      </w:r>
      <w:r w:rsidR="00231142">
        <w:t>ffa</w:t>
      </w:r>
      <w:r w:rsidRPr="00413748">
        <w:t>.</w:t>
      </w:r>
      <w:r w:rsidR="00231142">
        <w:t>gov.</w:t>
      </w:r>
      <w:r w:rsidRPr="00413748">
        <w:t xml:space="preserve"> </w:t>
      </w:r>
      <w:r w:rsidR="00231142">
        <w:t>We</w:t>
      </w:r>
      <w:r w:rsidRPr="00413748">
        <w:t xml:space="preserve"> pulled the top 10 from that data</w:t>
      </w:r>
      <w:r>
        <w:t xml:space="preserve"> to further analyze the effects</w:t>
      </w:r>
      <w:r w:rsidRPr="00413748">
        <w:t xml:space="preserve">. Then </w:t>
      </w:r>
      <w:r w:rsidR="00231142">
        <w:t xml:space="preserve">we </w:t>
      </w:r>
      <w:r w:rsidRPr="00413748">
        <w:t>add the population counts to the passenger average that pass</w:t>
      </w:r>
      <w:r w:rsidR="00BC6F61">
        <w:t>ed</w:t>
      </w:r>
      <w:r w:rsidRPr="00413748">
        <w:t xml:space="preserve"> through those states. </w:t>
      </w:r>
      <w:r w:rsidR="00231142">
        <w:t>We</w:t>
      </w:r>
      <w:r w:rsidRPr="00413748">
        <w:t xml:space="preserve"> </w:t>
      </w:r>
      <w:r>
        <w:t xml:space="preserve">then </w:t>
      </w:r>
      <w:r w:rsidRPr="00413748">
        <w:t xml:space="preserve">compared </w:t>
      </w:r>
      <w:r>
        <w:t>the outcome</w:t>
      </w:r>
      <w:r w:rsidRPr="00413748">
        <w:t xml:space="preserve"> to the states with the top 10 cases counts. </w:t>
      </w:r>
      <w:r w:rsidR="00850303">
        <w:t xml:space="preserve">We noticed a pattern between the state’s population and the states with the highest case counts. </w:t>
      </w:r>
    </w:p>
    <w:p w14:paraId="6370CE2E" w14:textId="22929AD4" w:rsidR="00413748" w:rsidRDefault="009F7020" w:rsidP="00413748">
      <w:r>
        <w:t>Inclusion t</w:t>
      </w:r>
      <w:r w:rsidR="00850303">
        <w:t xml:space="preserve">he data does seem to support that the airports </w:t>
      </w:r>
      <w:proofErr w:type="gramStart"/>
      <w:r w:rsidR="00850303">
        <w:t>ha</w:t>
      </w:r>
      <w:r w:rsidR="00DC2032">
        <w:t xml:space="preserve">ve </w:t>
      </w:r>
      <w:r w:rsidR="00850303">
        <w:t>an effect on</w:t>
      </w:r>
      <w:proofErr w:type="gramEnd"/>
      <w:r w:rsidR="00850303">
        <w:t xml:space="preserve"> the COVID-19 cases</w:t>
      </w:r>
      <w:r w:rsidR="003D384C">
        <w:t xml:space="preserve"> to some point. It the study group that was pulled, 70% of the states follow the </w:t>
      </w:r>
      <w:r w:rsidR="00DC2032">
        <w:t>same pattern as the cases count and population. The other 30% drops off</w:t>
      </w:r>
      <w:r w:rsidR="002C37EF">
        <w:t>.</w:t>
      </w:r>
      <w:r w:rsidR="00850303">
        <w:t xml:space="preserve"> The data is</w:t>
      </w:r>
      <w:r w:rsidR="00DC2032">
        <w:t xml:space="preserve"> </w:t>
      </w:r>
      <w:r w:rsidR="0019393F">
        <w:t>also</w:t>
      </w:r>
      <w:r w:rsidR="00850303">
        <w:t xml:space="preserve"> showing us that the state’s population plays a bigger role in the case counts. </w:t>
      </w:r>
    </w:p>
    <w:p w14:paraId="1C1326E6" w14:textId="77777777" w:rsidR="00231142" w:rsidRDefault="00231142" w:rsidP="00413748"/>
    <w:p w14:paraId="273CA072" w14:textId="22B188C9" w:rsidR="00413748" w:rsidRPr="00231142" w:rsidRDefault="00231142" w:rsidP="00413748">
      <w:pPr>
        <w:pStyle w:val="NoSpacing"/>
        <w:rPr>
          <w:b/>
          <w:bCs/>
        </w:rPr>
      </w:pPr>
      <w:r w:rsidRPr="00231142">
        <w:rPr>
          <w:b/>
          <w:bCs/>
        </w:rPr>
        <w:t>Analysis of the Effects Covid-19 Case Count Effects on the Unemployment Within the State:</w:t>
      </w:r>
    </w:p>
    <w:p w14:paraId="6584253C" w14:textId="77777777" w:rsidR="00BC6F61" w:rsidRDefault="00BC6F61" w:rsidP="00413748">
      <w:pPr>
        <w:pStyle w:val="NoSpacing"/>
      </w:pPr>
    </w:p>
    <w:p w14:paraId="0CE32AB9" w14:textId="3B359B87" w:rsidR="00BC6F61" w:rsidRDefault="00BC6F61" w:rsidP="00413748">
      <w:pPr>
        <w:pStyle w:val="NoSpacing"/>
      </w:pPr>
      <w:r>
        <w:t xml:space="preserve">Is there a difference in the amount of unemployed in 2019 to 2020? If </w:t>
      </w:r>
      <w:r w:rsidR="00892975">
        <w:t>so,</w:t>
      </w:r>
      <w:r>
        <w:t xml:space="preserve"> what was the difference?</w:t>
      </w:r>
    </w:p>
    <w:p w14:paraId="129C4E02" w14:textId="77777777" w:rsidR="00892975" w:rsidRDefault="00892975" w:rsidP="00413748">
      <w:pPr>
        <w:pStyle w:val="NoSpacing"/>
      </w:pPr>
    </w:p>
    <w:p w14:paraId="1EEB129C" w14:textId="7E7C0CCA" w:rsidR="00892975" w:rsidRDefault="00892975" w:rsidP="00892975">
      <w:pPr>
        <w:pStyle w:val="NoSpacing"/>
      </w:pPr>
      <w:r>
        <w:t xml:space="preserve">Does the </w:t>
      </w:r>
      <w:r w:rsidR="0019393F">
        <w:t>number</w:t>
      </w:r>
      <w:r>
        <w:t xml:space="preserve"> of COVID-19 cases have any effect on the amount of people that are unemployed within that state?</w:t>
      </w:r>
    </w:p>
    <w:p w14:paraId="6010D7BC" w14:textId="19955CCB" w:rsidR="00413748" w:rsidRDefault="00413748" w:rsidP="005B549D">
      <w:pPr>
        <w:pStyle w:val="NoSpacing"/>
      </w:pPr>
    </w:p>
    <w:p w14:paraId="1E001EBA" w14:textId="77777777" w:rsidR="009F7020" w:rsidRDefault="00BC6F61" w:rsidP="005B549D">
      <w:pPr>
        <w:pStyle w:val="NoSpacing"/>
      </w:pPr>
      <w:r>
        <w:t xml:space="preserve">After analyzing the data on the amount of </w:t>
      </w:r>
      <w:r w:rsidR="00AE2C36">
        <w:t xml:space="preserve">people </w:t>
      </w:r>
      <w:r>
        <w:t>unemployed in 2019 and 2020</w:t>
      </w:r>
      <w:r w:rsidR="00AE2C36">
        <w:t>,</w:t>
      </w:r>
      <w:r>
        <w:t xml:space="preserve"> </w:t>
      </w:r>
      <w:r w:rsidR="00892975">
        <w:t>it</w:t>
      </w:r>
      <w:r>
        <w:t xml:space="preserve"> was clear that the amount in 2019</w:t>
      </w:r>
      <w:r w:rsidR="00892975">
        <w:t xml:space="preserve"> were</w:t>
      </w:r>
      <w:r>
        <w:t xml:space="preserve"> more than doubled in 2020 for most states. </w:t>
      </w:r>
    </w:p>
    <w:p w14:paraId="0437BA68" w14:textId="77777777" w:rsidR="009F7020" w:rsidRDefault="009F7020" w:rsidP="005B549D">
      <w:pPr>
        <w:pStyle w:val="NoSpacing"/>
      </w:pPr>
    </w:p>
    <w:p w14:paraId="1215A41A" w14:textId="5D212FF3" w:rsidR="00BC6F61" w:rsidRDefault="00AE2C36" w:rsidP="005B549D">
      <w:pPr>
        <w:pStyle w:val="NoSpacing"/>
      </w:pPr>
      <w:r>
        <w:t xml:space="preserve">While looking at the confirmed case count to the amount </w:t>
      </w:r>
      <w:r w:rsidR="009F7020">
        <w:t xml:space="preserve">of people </w:t>
      </w:r>
      <w:r>
        <w:t xml:space="preserve">unemployed, it showed that it had a great impact. If you look at the top 5 states and the lowest 5 state effect by confirmed </w:t>
      </w:r>
      <w:r w:rsidR="00892975">
        <w:t>COVID-19</w:t>
      </w:r>
      <w:r>
        <w:t xml:space="preserve"> cases, you can see that the amounts are close enough</w:t>
      </w:r>
      <w:r w:rsidR="00892975">
        <w:t xml:space="preserve"> that it indeed ha</w:t>
      </w:r>
      <w:r w:rsidR="009F7020">
        <w:t xml:space="preserve">d </w:t>
      </w:r>
      <w:r w:rsidR="00892975">
        <w:t>an</w:t>
      </w:r>
      <w:r>
        <w:t xml:space="preserve"> effect. </w:t>
      </w:r>
      <w:proofErr w:type="gramStart"/>
      <w:r w:rsidR="0019393F">
        <w:t>In regard to</w:t>
      </w:r>
      <w:proofErr w:type="gramEnd"/>
      <w:r>
        <w:t xml:space="preserve"> the first 3 </w:t>
      </w:r>
      <w:r w:rsidR="00892975">
        <w:t xml:space="preserve">of the </w:t>
      </w:r>
      <w:r>
        <w:t xml:space="preserve">top 5 states, there could be additional factors that played in the lower unemployed </w:t>
      </w:r>
      <w:r w:rsidR="009F7020">
        <w:t xml:space="preserve">numbers </w:t>
      </w:r>
      <w:r>
        <w:t xml:space="preserve">verse case count. Were any of the confirmed </w:t>
      </w:r>
      <w:r w:rsidR="00892975">
        <w:t>COVID-19</w:t>
      </w:r>
      <w:r>
        <w:t xml:space="preserve"> cases from the same person taking multiple test? How many of the confirmed cases were employed before they contracted </w:t>
      </w:r>
      <w:r w:rsidR="00892975">
        <w:t>COVID-19</w:t>
      </w:r>
      <w:r>
        <w:t>?</w:t>
      </w:r>
    </w:p>
    <w:p w14:paraId="2D9A09A4" w14:textId="0970A41C" w:rsidR="00AE2C36" w:rsidRDefault="00AE2C36" w:rsidP="005B549D">
      <w:pPr>
        <w:pStyle w:val="NoSpacing"/>
      </w:pPr>
    </w:p>
    <w:p w14:paraId="41547D3F" w14:textId="72355953" w:rsidR="00AE2C36" w:rsidRDefault="00892975" w:rsidP="005B549D">
      <w:pPr>
        <w:pStyle w:val="NoSpacing"/>
      </w:pPr>
      <w:r>
        <w:t xml:space="preserve">In conclusion, we feel that the data shows that Covid-19 has a huge impact on the amount of unemployment that the is currently plaguing our country. </w:t>
      </w:r>
    </w:p>
    <w:p w14:paraId="2CAE1F50" w14:textId="042BA5EC" w:rsidR="00BC6F61" w:rsidRDefault="00BC6F61" w:rsidP="005B549D">
      <w:pPr>
        <w:pStyle w:val="NoSpacing"/>
        <w:rPr>
          <w:b/>
          <w:bCs/>
        </w:rPr>
      </w:pPr>
    </w:p>
    <w:p w14:paraId="1988F879" w14:textId="36B0F41A" w:rsidR="00F72584" w:rsidRDefault="00F72584" w:rsidP="005B549D">
      <w:pPr>
        <w:pStyle w:val="NoSpacing"/>
        <w:rPr>
          <w:b/>
          <w:bCs/>
        </w:rPr>
      </w:pPr>
    </w:p>
    <w:p w14:paraId="3D91617D" w14:textId="0D55BC4C" w:rsidR="00F72584" w:rsidRDefault="00F72584" w:rsidP="005B549D">
      <w:pPr>
        <w:pStyle w:val="NoSpacing"/>
        <w:rPr>
          <w:b/>
          <w:bCs/>
        </w:rPr>
      </w:pPr>
    </w:p>
    <w:p w14:paraId="2D2578D1" w14:textId="77777777" w:rsidR="00F72584" w:rsidRDefault="00F72584" w:rsidP="005B549D">
      <w:pPr>
        <w:pStyle w:val="NoSpacing"/>
        <w:rPr>
          <w:b/>
          <w:bCs/>
        </w:rPr>
      </w:pPr>
    </w:p>
    <w:p w14:paraId="7B6F8903" w14:textId="77777777" w:rsidR="003D5293" w:rsidRDefault="003D5293" w:rsidP="005B549D">
      <w:pPr>
        <w:pStyle w:val="NoSpacing"/>
        <w:rPr>
          <w:b/>
          <w:bCs/>
        </w:rPr>
      </w:pPr>
    </w:p>
    <w:p w14:paraId="37D4E52D" w14:textId="4688714E" w:rsidR="00A174F4" w:rsidRDefault="007B7149" w:rsidP="005B549D">
      <w:pPr>
        <w:pStyle w:val="NoSpacing"/>
        <w:rPr>
          <w:b/>
          <w:bCs/>
        </w:rPr>
      </w:pPr>
      <w:r w:rsidRPr="007B7149">
        <w:rPr>
          <w:b/>
          <w:bCs/>
        </w:rPr>
        <w:t xml:space="preserve">Analysis </w:t>
      </w:r>
      <w:r>
        <w:rPr>
          <w:b/>
          <w:bCs/>
        </w:rPr>
        <w:t>o</w:t>
      </w:r>
      <w:r w:rsidRPr="007B7149">
        <w:rPr>
          <w:b/>
          <w:bCs/>
        </w:rPr>
        <w:t>f Covid-19 Deaths vs. Influenza Deaths</w:t>
      </w:r>
    </w:p>
    <w:p w14:paraId="4FEB7192" w14:textId="1670C57C" w:rsidR="007B7149" w:rsidRDefault="007B7149" w:rsidP="005B549D">
      <w:pPr>
        <w:pStyle w:val="NoSpacing"/>
        <w:rPr>
          <w:b/>
          <w:bCs/>
        </w:rPr>
      </w:pPr>
    </w:p>
    <w:p w14:paraId="7F54D88C" w14:textId="267840A6" w:rsidR="007B7149" w:rsidRPr="007B7149" w:rsidRDefault="007B7149" w:rsidP="005B549D">
      <w:pPr>
        <w:pStyle w:val="NoSpacing"/>
      </w:pPr>
      <w:r>
        <w:t xml:space="preserve">The data utilized was retrieved from the </w:t>
      </w:r>
      <w:r w:rsidRPr="00222219">
        <w:rPr>
          <w:b/>
          <w:bCs/>
        </w:rPr>
        <w:t xml:space="preserve">National Center for Health </w:t>
      </w:r>
      <w:r w:rsidR="00222219" w:rsidRPr="00222219">
        <w:rPr>
          <w:b/>
          <w:bCs/>
        </w:rPr>
        <w:t>and Statistics</w:t>
      </w:r>
      <w:r w:rsidR="00222219">
        <w:t xml:space="preserve"> (</w:t>
      </w:r>
      <w:r w:rsidR="00222219" w:rsidRPr="00222219">
        <w:rPr>
          <w:b/>
          <w:bCs/>
        </w:rPr>
        <w:t>NCHS</w:t>
      </w:r>
      <w:r w:rsidR="00222219">
        <w:t>).</w:t>
      </w:r>
    </w:p>
    <w:p w14:paraId="69018BE0" w14:textId="6E54DD38" w:rsidR="007B7149" w:rsidRDefault="007B7149" w:rsidP="005B549D">
      <w:pPr>
        <w:pStyle w:val="NoSpacing"/>
        <w:rPr>
          <w:b/>
          <w:bCs/>
        </w:rPr>
      </w:pPr>
    </w:p>
    <w:p w14:paraId="48B7A108" w14:textId="709E075E" w:rsidR="00222219" w:rsidRPr="00222219" w:rsidRDefault="00222219" w:rsidP="005B549D">
      <w:pPr>
        <w:pStyle w:val="NoSpacing"/>
        <w:rPr>
          <w:u w:val="single"/>
        </w:rPr>
      </w:pPr>
      <w:r w:rsidRPr="00222219">
        <w:rPr>
          <w:u w:val="single"/>
        </w:rPr>
        <w:t>Utilizing Line Graphs</w:t>
      </w:r>
    </w:p>
    <w:p w14:paraId="67B90817" w14:textId="73DDF925" w:rsidR="005B549D" w:rsidRDefault="007B7149" w:rsidP="005B549D">
      <w:pPr>
        <w:pStyle w:val="NoSpacing"/>
      </w:pPr>
      <w:r w:rsidRPr="007B7149">
        <w:rPr>
          <w:b/>
          <w:bCs/>
        </w:rPr>
        <w:t>Step 1</w:t>
      </w:r>
      <w:r>
        <w:t xml:space="preserve">: Evaluate </w:t>
      </w:r>
      <w:r w:rsidRPr="007B7149">
        <w:rPr>
          <w:b/>
          <w:bCs/>
        </w:rPr>
        <w:t>Total Deaths</w:t>
      </w:r>
      <w:r>
        <w:t xml:space="preserve"> for the past five years.</w:t>
      </w:r>
    </w:p>
    <w:p w14:paraId="25AC0657" w14:textId="752E27BC" w:rsidR="00E06060" w:rsidRPr="00E06060" w:rsidRDefault="00E06060" w:rsidP="00E06060">
      <w:pPr>
        <w:pStyle w:val="NormalWeb"/>
        <w:spacing w:before="0" w:beforeAutospacing="0" w:after="0" w:afterAutospacing="0"/>
        <w:ind w:left="720"/>
        <w:rPr>
          <w:rFonts w:ascii="Calibri" w:hAnsi="Calibri" w:cs="Calibri"/>
          <w:sz w:val="22"/>
          <w:szCs w:val="22"/>
        </w:rPr>
      </w:pPr>
      <w:r w:rsidRPr="00E06060">
        <w:rPr>
          <w:rFonts w:ascii="Calibri" w:hAnsi="Calibri" w:cs="Calibri"/>
          <w:sz w:val="22"/>
          <w:szCs w:val="22"/>
          <w:u w:val="single"/>
        </w:rPr>
        <w:t>Findings</w:t>
      </w:r>
      <w:r w:rsidRPr="00E06060">
        <w:rPr>
          <w:rFonts w:ascii="Calibri" w:hAnsi="Calibri" w:cs="Calibri"/>
          <w:sz w:val="22"/>
          <w:szCs w:val="22"/>
        </w:rPr>
        <w:t xml:space="preserve">: There was </w:t>
      </w:r>
      <w:r w:rsidRPr="00E06060">
        <w:rPr>
          <w:rFonts w:ascii="Calibri" w:hAnsi="Calibri" w:cs="Calibri"/>
          <w:b/>
          <w:bCs/>
          <w:sz w:val="22"/>
          <w:szCs w:val="22"/>
        </w:rPr>
        <w:t>325,221</w:t>
      </w:r>
      <w:r w:rsidRPr="00E06060">
        <w:rPr>
          <w:rFonts w:ascii="Calibri" w:hAnsi="Calibri" w:cs="Calibri"/>
          <w:sz w:val="22"/>
          <w:szCs w:val="22"/>
        </w:rPr>
        <w:t xml:space="preserve"> increase in </w:t>
      </w:r>
      <w:r w:rsidRPr="00E06060">
        <w:rPr>
          <w:rFonts w:ascii="Calibri" w:hAnsi="Calibri" w:cs="Calibri"/>
          <w:b/>
          <w:bCs/>
          <w:sz w:val="22"/>
          <w:szCs w:val="22"/>
        </w:rPr>
        <w:t>Total Deaths</w:t>
      </w:r>
      <w:r w:rsidRPr="00E06060">
        <w:rPr>
          <w:rFonts w:ascii="Calibri" w:hAnsi="Calibri" w:cs="Calibri"/>
          <w:sz w:val="22"/>
          <w:szCs w:val="22"/>
        </w:rPr>
        <w:t xml:space="preserve"> from 2019 to 2020.  </w:t>
      </w:r>
      <w:r w:rsidRPr="00E06060">
        <w:rPr>
          <w:rFonts w:ascii="Calibri" w:eastAsiaTheme="minorEastAsia" w:hAnsi="Calibri" w:cs="Calibri"/>
          <w:color w:val="000000" w:themeColor="text1"/>
          <w:kern w:val="24"/>
          <w:sz w:val="22"/>
          <w:szCs w:val="22"/>
        </w:rPr>
        <w:t xml:space="preserve">In a normal year, most deaths accumulate during the winter months.  Mainly when many people are the least active, given cold weather conditions.  This is also </w:t>
      </w:r>
      <w:proofErr w:type="gramStart"/>
      <w:r w:rsidRPr="00E06060">
        <w:rPr>
          <w:rFonts w:ascii="Calibri" w:eastAsiaTheme="minorEastAsia" w:hAnsi="Calibri" w:cs="Calibri"/>
          <w:color w:val="000000" w:themeColor="text1"/>
          <w:kern w:val="24"/>
          <w:sz w:val="22"/>
          <w:szCs w:val="22"/>
        </w:rPr>
        <w:t>coincides</w:t>
      </w:r>
      <w:proofErr w:type="gramEnd"/>
      <w:r w:rsidRPr="00E06060">
        <w:rPr>
          <w:rFonts w:ascii="Calibri" w:eastAsiaTheme="minorEastAsia" w:hAnsi="Calibri" w:cs="Calibri"/>
          <w:color w:val="000000" w:themeColor="text1"/>
          <w:kern w:val="24"/>
          <w:sz w:val="22"/>
          <w:szCs w:val="22"/>
        </w:rPr>
        <w:t xml:space="preserve"> with the peak of the flu season.</w:t>
      </w:r>
    </w:p>
    <w:p w14:paraId="0CF10CEC" w14:textId="7184B487" w:rsidR="007B7149" w:rsidRDefault="007B7149" w:rsidP="007B7149">
      <w:pPr>
        <w:pStyle w:val="NoSpacing"/>
      </w:pPr>
      <w:bookmarkStart w:id="0" w:name="_Hlk63291582"/>
      <w:r w:rsidRPr="007B7149">
        <w:rPr>
          <w:b/>
          <w:bCs/>
        </w:rPr>
        <w:t xml:space="preserve">Step </w:t>
      </w:r>
      <w:r>
        <w:rPr>
          <w:b/>
          <w:bCs/>
        </w:rPr>
        <w:t>2</w:t>
      </w:r>
      <w:r>
        <w:t xml:space="preserve">: Evaluate </w:t>
      </w:r>
      <w:r>
        <w:rPr>
          <w:b/>
          <w:bCs/>
        </w:rPr>
        <w:t>Pneumonia</w:t>
      </w:r>
      <w:r w:rsidRPr="007B7149">
        <w:rPr>
          <w:b/>
          <w:bCs/>
        </w:rPr>
        <w:t xml:space="preserve"> Deaths</w:t>
      </w:r>
      <w:r>
        <w:t xml:space="preserve"> for the past five years.</w:t>
      </w:r>
    </w:p>
    <w:p w14:paraId="0B0E8B51" w14:textId="353C4C5E" w:rsidR="00E06060" w:rsidRPr="00380EC8" w:rsidRDefault="00E06060" w:rsidP="00380EC8">
      <w:pPr>
        <w:pStyle w:val="NoSpacing"/>
        <w:ind w:left="720"/>
        <w:rPr>
          <w:rFonts w:ascii="Calibri" w:hAnsi="Calibri" w:cs="Calibri"/>
        </w:rPr>
      </w:pPr>
      <w:bookmarkStart w:id="1" w:name="_Hlk63361874"/>
      <w:r w:rsidRPr="00380EC8">
        <w:rPr>
          <w:rFonts w:ascii="Calibri" w:hAnsi="Calibri" w:cs="Calibri"/>
          <w:u w:val="single"/>
        </w:rPr>
        <w:t>Findings</w:t>
      </w:r>
      <w:r w:rsidRPr="00380EC8">
        <w:rPr>
          <w:rFonts w:ascii="Calibri" w:hAnsi="Calibri" w:cs="Calibri"/>
        </w:rPr>
        <w:t>:</w:t>
      </w:r>
      <w:r w:rsidR="00380EC8" w:rsidRPr="00380EC8">
        <w:rPr>
          <w:rFonts w:ascii="Calibri" w:hAnsi="Calibri" w:cs="Calibri"/>
        </w:rPr>
        <w:t xml:space="preserve"> </w:t>
      </w:r>
      <w:bookmarkEnd w:id="1"/>
      <w:r w:rsidR="00380EC8" w:rsidRPr="00380EC8">
        <w:rPr>
          <w:rFonts w:ascii="Calibri" w:eastAsiaTheme="minorEastAsia" w:hAnsi="Calibri" w:cs="Calibri"/>
          <w:color w:val="000000" w:themeColor="text1"/>
          <w:kern w:val="24"/>
        </w:rPr>
        <w:t xml:space="preserve">Total pneumonia deaths saw about a </w:t>
      </w:r>
      <w:r w:rsidR="00380EC8" w:rsidRPr="00380EC8">
        <w:rPr>
          <w:rFonts w:ascii="Calibri" w:eastAsiaTheme="minorEastAsia" w:hAnsi="Calibri" w:cs="Calibri"/>
          <w:b/>
          <w:bCs/>
          <w:color w:val="000000" w:themeColor="text1"/>
          <w:kern w:val="24"/>
        </w:rPr>
        <w:t>64.6%</w:t>
      </w:r>
      <w:r w:rsidR="00380EC8" w:rsidRPr="00380EC8">
        <w:rPr>
          <w:rFonts w:ascii="Calibri" w:eastAsiaTheme="minorEastAsia" w:hAnsi="Calibri" w:cs="Calibri"/>
          <w:color w:val="000000" w:themeColor="text1"/>
          <w:kern w:val="24"/>
        </w:rPr>
        <w:t xml:space="preserve"> increase from 2019 to 2020.  Pneumonia deaths normally account for most of the deaths associated with viral respiratory illnesses, given other viral symptoms are mostly manageable with existing medications.</w:t>
      </w:r>
    </w:p>
    <w:bookmarkEnd w:id="0"/>
    <w:p w14:paraId="15ECF5A2" w14:textId="15B4E8E3" w:rsidR="00222219" w:rsidRDefault="00222219" w:rsidP="00222219">
      <w:pPr>
        <w:pStyle w:val="NoSpacing"/>
      </w:pPr>
      <w:r w:rsidRPr="007B7149">
        <w:rPr>
          <w:b/>
          <w:bCs/>
        </w:rPr>
        <w:t xml:space="preserve">Step </w:t>
      </w:r>
      <w:r>
        <w:rPr>
          <w:b/>
          <w:bCs/>
        </w:rPr>
        <w:t>3</w:t>
      </w:r>
      <w:r>
        <w:t xml:space="preserve">: Evaluate </w:t>
      </w:r>
      <w:r>
        <w:rPr>
          <w:b/>
          <w:bCs/>
        </w:rPr>
        <w:t>Covid-19</w:t>
      </w:r>
      <w:r w:rsidRPr="007B7149">
        <w:rPr>
          <w:b/>
          <w:bCs/>
        </w:rPr>
        <w:t xml:space="preserve"> Deaths</w:t>
      </w:r>
      <w:r>
        <w:t xml:space="preserve"> for 2020.</w:t>
      </w:r>
    </w:p>
    <w:p w14:paraId="58570E8E" w14:textId="35D0E9DD" w:rsidR="00380EC8" w:rsidRDefault="00380EC8" w:rsidP="00222219">
      <w:pPr>
        <w:pStyle w:val="NoSpacing"/>
      </w:pPr>
      <w:r>
        <w:tab/>
      </w:r>
      <w:bookmarkStart w:id="2" w:name="_Hlk63361997"/>
      <w:r w:rsidRPr="00380EC8">
        <w:rPr>
          <w:rFonts w:ascii="Calibri" w:hAnsi="Calibri" w:cs="Calibri"/>
          <w:u w:val="single"/>
        </w:rPr>
        <w:t>Findings</w:t>
      </w:r>
      <w:r w:rsidRPr="00380EC8">
        <w:rPr>
          <w:rFonts w:ascii="Calibri" w:hAnsi="Calibri" w:cs="Calibri"/>
        </w:rPr>
        <w:t>:</w:t>
      </w:r>
      <w:r>
        <w:rPr>
          <w:rFonts w:ascii="Calibri" w:hAnsi="Calibri" w:cs="Calibri"/>
        </w:rPr>
        <w:t xml:space="preserve"> </w:t>
      </w:r>
      <w:bookmarkEnd w:id="2"/>
      <w:r>
        <w:rPr>
          <w:rFonts w:ascii="Calibri" w:hAnsi="Calibri" w:cs="Calibri"/>
        </w:rPr>
        <w:t xml:space="preserve">There were </w:t>
      </w:r>
      <w:r w:rsidRPr="00380EC8">
        <w:rPr>
          <w:rFonts w:ascii="Calibri" w:hAnsi="Calibri" w:cs="Calibri"/>
          <w:b/>
          <w:bCs/>
        </w:rPr>
        <w:t>235,745 Covid-19 Deaths</w:t>
      </w:r>
      <w:r>
        <w:rPr>
          <w:rFonts w:ascii="Calibri" w:hAnsi="Calibri" w:cs="Calibri"/>
        </w:rPr>
        <w:t>.</w:t>
      </w:r>
    </w:p>
    <w:p w14:paraId="42239497" w14:textId="5DE1C568" w:rsidR="00222219" w:rsidRDefault="00222219" w:rsidP="00222219">
      <w:pPr>
        <w:pStyle w:val="NoSpacing"/>
      </w:pPr>
      <w:bookmarkStart w:id="3" w:name="_Hlk63291761"/>
      <w:r w:rsidRPr="00222219">
        <w:rPr>
          <w:b/>
          <w:bCs/>
        </w:rPr>
        <w:t>Step 4a</w:t>
      </w:r>
      <w:r>
        <w:t xml:space="preserve">: Calculate </w:t>
      </w:r>
      <w:r w:rsidRPr="00222219">
        <w:rPr>
          <w:b/>
          <w:bCs/>
        </w:rPr>
        <w:t>Covid-19 Pneumonia Deaths</w:t>
      </w:r>
      <w:r>
        <w:rPr>
          <w:b/>
          <w:bCs/>
        </w:rPr>
        <w:t xml:space="preserve"> </w:t>
      </w:r>
      <w:r>
        <w:t>in targeted 2020 timeframe.</w:t>
      </w:r>
    </w:p>
    <w:p w14:paraId="39216338" w14:textId="5831BB41" w:rsidR="00222219" w:rsidRDefault="00222219" w:rsidP="00222219">
      <w:pPr>
        <w:pStyle w:val="NoSpacing"/>
      </w:pPr>
      <w:bookmarkStart w:id="4" w:name="_Hlk63291835"/>
      <w:bookmarkEnd w:id="3"/>
      <w:r w:rsidRPr="00222219">
        <w:rPr>
          <w:b/>
          <w:bCs/>
        </w:rPr>
        <w:t>Step 4</w:t>
      </w:r>
      <w:r>
        <w:rPr>
          <w:b/>
          <w:bCs/>
        </w:rPr>
        <w:t>b</w:t>
      </w:r>
      <w:r>
        <w:t xml:space="preserve">: Calculate </w:t>
      </w:r>
      <w:r w:rsidRPr="00222219">
        <w:rPr>
          <w:b/>
          <w:bCs/>
        </w:rPr>
        <w:t xml:space="preserve">Covid-19 </w:t>
      </w:r>
      <w:r>
        <w:rPr>
          <w:b/>
          <w:bCs/>
        </w:rPr>
        <w:t>Non-</w:t>
      </w:r>
      <w:r w:rsidRPr="00222219">
        <w:rPr>
          <w:b/>
          <w:bCs/>
        </w:rPr>
        <w:t>Pneumonia Deaths</w:t>
      </w:r>
      <w:r>
        <w:rPr>
          <w:b/>
          <w:bCs/>
        </w:rPr>
        <w:t xml:space="preserve"> </w:t>
      </w:r>
      <w:r w:rsidRPr="00222219">
        <w:t xml:space="preserve">in </w:t>
      </w:r>
      <w:r>
        <w:t xml:space="preserve">targeted </w:t>
      </w:r>
      <w:r w:rsidRPr="00222219">
        <w:t>2020</w:t>
      </w:r>
      <w:r>
        <w:t xml:space="preserve"> timeframe</w:t>
      </w:r>
      <w:r w:rsidRPr="00222219">
        <w:t>.</w:t>
      </w:r>
    </w:p>
    <w:p w14:paraId="21BB5950" w14:textId="7986CF6C" w:rsidR="00222219" w:rsidRDefault="00222219" w:rsidP="00222219">
      <w:pPr>
        <w:pStyle w:val="NoSpacing"/>
      </w:pPr>
      <w:bookmarkStart w:id="5" w:name="_Hlk63291945"/>
      <w:bookmarkEnd w:id="4"/>
      <w:r w:rsidRPr="00222219">
        <w:rPr>
          <w:b/>
          <w:bCs/>
        </w:rPr>
        <w:t>Step 4</w:t>
      </w:r>
      <w:r>
        <w:rPr>
          <w:b/>
          <w:bCs/>
        </w:rPr>
        <w:t>c</w:t>
      </w:r>
      <w:r>
        <w:t xml:space="preserve">: Calculate </w:t>
      </w:r>
      <w:bookmarkStart w:id="6" w:name="_Hlk63292056"/>
      <w:r w:rsidR="00C900D6">
        <w:rPr>
          <w:b/>
          <w:bCs/>
        </w:rPr>
        <w:t>Influenza</w:t>
      </w:r>
      <w:r>
        <w:rPr>
          <w:b/>
          <w:bCs/>
        </w:rPr>
        <w:t xml:space="preserve"> </w:t>
      </w:r>
      <w:r w:rsidRPr="00222219">
        <w:rPr>
          <w:b/>
          <w:bCs/>
        </w:rPr>
        <w:t>Pneumonia Deaths</w:t>
      </w:r>
      <w:r>
        <w:rPr>
          <w:b/>
          <w:bCs/>
        </w:rPr>
        <w:t xml:space="preserve"> </w:t>
      </w:r>
      <w:bookmarkEnd w:id="6"/>
      <w:r w:rsidRPr="00222219">
        <w:t xml:space="preserve">in </w:t>
      </w:r>
      <w:r>
        <w:t xml:space="preserve">targeted </w:t>
      </w:r>
      <w:r w:rsidRPr="00222219">
        <w:t>2020</w:t>
      </w:r>
      <w:r>
        <w:t xml:space="preserve"> timeframe</w:t>
      </w:r>
      <w:r w:rsidRPr="00222219">
        <w:t>.</w:t>
      </w:r>
    </w:p>
    <w:p w14:paraId="58D10A8F" w14:textId="2AA88A78" w:rsidR="00222219" w:rsidRDefault="00222219" w:rsidP="00222219">
      <w:pPr>
        <w:pStyle w:val="NoSpacing"/>
      </w:pPr>
      <w:bookmarkStart w:id="7" w:name="_Hlk63292008"/>
      <w:bookmarkEnd w:id="5"/>
      <w:r w:rsidRPr="00222219">
        <w:rPr>
          <w:b/>
          <w:bCs/>
        </w:rPr>
        <w:t>Step 4</w:t>
      </w:r>
      <w:r>
        <w:rPr>
          <w:b/>
          <w:bCs/>
        </w:rPr>
        <w:t>d</w:t>
      </w:r>
      <w:r>
        <w:t xml:space="preserve">: Evaluate </w:t>
      </w:r>
      <w:r>
        <w:rPr>
          <w:b/>
          <w:bCs/>
        </w:rPr>
        <w:t xml:space="preserve">Targeted </w:t>
      </w:r>
      <w:r w:rsidRPr="00222219">
        <w:rPr>
          <w:b/>
          <w:bCs/>
        </w:rPr>
        <w:t>Pneumonia Deaths</w:t>
      </w:r>
      <w:r>
        <w:rPr>
          <w:b/>
          <w:bCs/>
        </w:rPr>
        <w:t xml:space="preserve"> </w:t>
      </w:r>
      <w:r w:rsidRPr="00222219">
        <w:t xml:space="preserve">in </w:t>
      </w:r>
      <w:r>
        <w:t xml:space="preserve">targeted </w:t>
      </w:r>
      <w:r w:rsidRPr="00222219">
        <w:t>2020</w:t>
      </w:r>
      <w:r>
        <w:t xml:space="preserve"> timeframe</w:t>
      </w:r>
      <w:r w:rsidRPr="00222219">
        <w:t>.</w:t>
      </w:r>
    </w:p>
    <w:p w14:paraId="1ED4E680" w14:textId="321BC4E2" w:rsidR="00380EC8" w:rsidRDefault="00380EC8" w:rsidP="00380EC8">
      <w:pPr>
        <w:pStyle w:val="NormalWeb"/>
        <w:spacing w:before="0" w:beforeAutospacing="0" w:after="0" w:afterAutospacing="0"/>
        <w:ind w:left="720"/>
      </w:pPr>
      <w:bookmarkStart w:id="8" w:name="_Hlk63362193"/>
      <w:r w:rsidRPr="00380EC8">
        <w:rPr>
          <w:rFonts w:ascii="Calibri" w:hAnsi="Calibri" w:cs="Calibri"/>
          <w:sz w:val="22"/>
          <w:szCs w:val="22"/>
          <w:u w:val="single"/>
        </w:rPr>
        <w:t>Findings</w:t>
      </w:r>
      <w:r w:rsidRPr="00380EC8">
        <w:rPr>
          <w:rFonts w:ascii="Calibri" w:hAnsi="Calibri" w:cs="Calibri"/>
          <w:sz w:val="22"/>
          <w:szCs w:val="22"/>
        </w:rPr>
        <w:t>:</w:t>
      </w:r>
      <w:r>
        <w:rPr>
          <w:rFonts w:ascii="Calibri" w:hAnsi="Calibri" w:cs="Calibri"/>
        </w:rPr>
        <w:t xml:space="preserve"> </w:t>
      </w:r>
      <w:bookmarkEnd w:id="8"/>
      <w:r w:rsidRPr="00380EC8">
        <w:rPr>
          <w:rFonts w:ascii="Calibri" w:eastAsiaTheme="minorEastAsia" w:hAnsi="Calibri" w:cs="Calibri"/>
          <w:color w:val="000000" w:themeColor="text1"/>
          <w:kern w:val="24"/>
          <w:sz w:val="22"/>
          <w:szCs w:val="22"/>
        </w:rPr>
        <w:t xml:space="preserve">This chart analyzes pneumonia deaths from the first Covid-19 death associated with it to early </w:t>
      </w:r>
      <w:proofErr w:type="gramStart"/>
      <w:r w:rsidRPr="00380EC8">
        <w:rPr>
          <w:rFonts w:ascii="Calibri" w:eastAsiaTheme="minorEastAsia" w:hAnsi="Calibri" w:cs="Calibri"/>
          <w:color w:val="000000" w:themeColor="text1"/>
          <w:kern w:val="24"/>
          <w:sz w:val="22"/>
          <w:szCs w:val="22"/>
        </w:rPr>
        <w:t>November, and</w:t>
      </w:r>
      <w:proofErr w:type="gramEnd"/>
      <w:r w:rsidRPr="00380EC8">
        <w:rPr>
          <w:rFonts w:ascii="Calibri" w:eastAsiaTheme="minorEastAsia" w:hAnsi="Calibri" w:cs="Calibri"/>
          <w:color w:val="000000" w:themeColor="text1"/>
          <w:kern w:val="24"/>
          <w:sz w:val="22"/>
          <w:szCs w:val="22"/>
        </w:rPr>
        <w:t xml:space="preserve"> compares it to previous timeframes in 2016-2019.  Notice</w:t>
      </w:r>
      <w:r>
        <w:rPr>
          <w:rFonts w:ascii="Calibri" w:eastAsiaTheme="minorEastAsia" w:hAnsi="Calibri" w:cs="Calibri"/>
          <w:color w:val="000000" w:themeColor="text1"/>
          <w:kern w:val="24"/>
          <w:sz w:val="22"/>
          <w:szCs w:val="22"/>
        </w:rPr>
        <w:t>d</w:t>
      </w:r>
      <w:r w:rsidRPr="00380EC8">
        <w:rPr>
          <w:rFonts w:ascii="Calibri" w:eastAsiaTheme="minorEastAsia" w:hAnsi="Calibri" w:cs="Calibri"/>
          <w:color w:val="000000" w:themeColor="text1"/>
          <w:kern w:val="24"/>
          <w:sz w:val="22"/>
          <w:szCs w:val="22"/>
        </w:rPr>
        <w:t xml:space="preserve"> that 2020 deaths other than Covid-19 seemed slightly influenced by it.</w:t>
      </w:r>
    </w:p>
    <w:p w14:paraId="475537F2" w14:textId="1D77D991" w:rsidR="00222219" w:rsidRDefault="00222219" w:rsidP="00222219">
      <w:pPr>
        <w:pStyle w:val="NoSpacing"/>
      </w:pPr>
      <w:bookmarkStart w:id="9" w:name="_Hlk63292136"/>
      <w:bookmarkEnd w:id="7"/>
      <w:r w:rsidRPr="00222219">
        <w:rPr>
          <w:b/>
          <w:bCs/>
        </w:rPr>
        <w:t>Step 4</w:t>
      </w:r>
      <w:r>
        <w:rPr>
          <w:b/>
          <w:bCs/>
        </w:rPr>
        <w:t>e</w:t>
      </w:r>
      <w:r>
        <w:t xml:space="preserve">: Use correlation analysis to verify </w:t>
      </w:r>
      <w:r w:rsidR="00C900D6">
        <w:rPr>
          <w:b/>
          <w:bCs/>
        </w:rPr>
        <w:t>Influenza</w:t>
      </w:r>
      <w:r>
        <w:rPr>
          <w:b/>
          <w:bCs/>
        </w:rPr>
        <w:t xml:space="preserve"> </w:t>
      </w:r>
      <w:r w:rsidRPr="00222219">
        <w:rPr>
          <w:b/>
          <w:bCs/>
        </w:rPr>
        <w:t>Pneumonia Deaths</w:t>
      </w:r>
      <w:r w:rsidR="00C900D6">
        <w:rPr>
          <w:b/>
          <w:bCs/>
        </w:rPr>
        <w:t xml:space="preserve"> </w:t>
      </w:r>
      <w:r w:rsidR="00C900D6">
        <w:t>were statistically consistent with the same timeframe in previous years.</w:t>
      </w:r>
    </w:p>
    <w:p w14:paraId="19E262EC" w14:textId="180D0578" w:rsidR="00380EC8" w:rsidRPr="00C900D6" w:rsidRDefault="00380EC8" w:rsidP="00380EC8">
      <w:pPr>
        <w:pStyle w:val="NoSpacing"/>
        <w:ind w:left="720"/>
      </w:pPr>
      <w:bookmarkStart w:id="10" w:name="_Hlk63362271"/>
      <w:r w:rsidRPr="00380EC8">
        <w:rPr>
          <w:rFonts w:ascii="Calibri" w:hAnsi="Calibri" w:cs="Calibri"/>
          <w:u w:val="single"/>
        </w:rPr>
        <w:t>Findings</w:t>
      </w:r>
      <w:r w:rsidRPr="00380EC8">
        <w:rPr>
          <w:rFonts w:ascii="Calibri" w:hAnsi="Calibri" w:cs="Calibri"/>
        </w:rPr>
        <w:t>:</w:t>
      </w:r>
      <w:r>
        <w:rPr>
          <w:rFonts w:ascii="Calibri" w:hAnsi="Calibri" w:cs="Calibri"/>
        </w:rPr>
        <w:t xml:space="preserve"> </w:t>
      </w:r>
      <w:r w:rsidRPr="00380EC8">
        <w:rPr>
          <w:rFonts w:ascii="Calibri" w:eastAsiaTheme="minorEastAsia" w:hAnsi="Calibri" w:cs="Calibri"/>
          <w:color w:val="000000" w:themeColor="text1"/>
          <w:kern w:val="24"/>
        </w:rPr>
        <w:t xml:space="preserve">Correlation testing was done comparing 2020 pneumonia deaths other than Covid-19 with the previous years displayed with a minimum factor of </w:t>
      </w:r>
      <w:r w:rsidRPr="00380EC8">
        <w:rPr>
          <w:rFonts w:ascii="Calibri" w:eastAsiaTheme="minorEastAsia" w:hAnsi="Calibri" w:cs="Calibri"/>
          <w:b/>
          <w:bCs/>
          <w:color w:val="000000" w:themeColor="text1"/>
          <w:kern w:val="24"/>
        </w:rPr>
        <w:t>0.82</w:t>
      </w:r>
      <w:r w:rsidRPr="00380EC8">
        <w:rPr>
          <w:rFonts w:ascii="Calibri" w:eastAsiaTheme="minorEastAsia" w:hAnsi="Calibri" w:cs="Calibri"/>
          <w:color w:val="000000" w:themeColor="text1"/>
          <w:kern w:val="24"/>
        </w:rPr>
        <w:t>, which represents a strong correlation.</w:t>
      </w:r>
    </w:p>
    <w:bookmarkEnd w:id="9"/>
    <w:bookmarkEnd w:id="10"/>
    <w:p w14:paraId="01CB15BB" w14:textId="3BE02F84" w:rsidR="00C900D6" w:rsidRDefault="00C900D6" w:rsidP="00C900D6">
      <w:pPr>
        <w:pStyle w:val="NoSpacing"/>
      </w:pPr>
      <w:r w:rsidRPr="00222219">
        <w:rPr>
          <w:b/>
          <w:bCs/>
        </w:rPr>
        <w:t>Step 4</w:t>
      </w:r>
      <w:r>
        <w:rPr>
          <w:b/>
          <w:bCs/>
        </w:rPr>
        <w:t>f</w:t>
      </w:r>
      <w:r>
        <w:t xml:space="preserve">: Use ANOVA analysis to verify </w:t>
      </w:r>
      <w:r>
        <w:rPr>
          <w:b/>
          <w:bCs/>
        </w:rPr>
        <w:t xml:space="preserve">Influenza </w:t>
      </w:r>
      <w:r w:rsidRPr="00222219">
        <w:rPr>
          <w:b/>
          <w:bCs/>
        </w:rPr>
        <w:t>Pneumonia Deaths</w:t>
      </w:r>
      <w:r>
        <w:rPr>
          <w:b/>
          <w:bCs/>
        </w:rPr>
        <w:t xml:space="preserve"> </w:t>
      </w:r>
      <w:r>
        <w:t>were statistically distributed with the same timeframe in previous years.</w:t>
      </w:r>
    </w:p>
    <w:p w14:paraId="40B134A9" w14:textId="5011059F" w:rsidR="00380EC8" w:rsidRPr="00C900D6" w:rsidRDefault="00380EC8" w:rsidP="00380EC8">
      <w:pPr>
        <w:pStyle w:val="NoSpacing"/>
        <w:ind w:left="720"/>
      </w:pPr>
      <w:bookmarkStart w:id="11" w:name="_Hlk63362407"/>
      <w:r w:rsidRPr="00380EC8">
        <w:rPr>
          <w:rFonts w:ascii="Calibri" w:hAnsi="Calibri" w:cs="Calibri"/>
          <w:u w:val="single"/>
        </w:rPr>
        <w:t>Findings</w:t>
      </w:r>
      <w:r w:rsidRPr="00380EC8">
        <w:rPr>
          <w:rFonts w:ascii="Calibri" w:hAnsi="Calibri" w:cs="Calibri"/>
        </w:rPr>
        <w:t>:</w:t>
      </w:r>
      <w:r>
        <w:rPr>
          <w:rFonts w:ascii="Calibri" w:hAnsi="Calibri" w:cs="Calibri"/>
        </w:rPr>
        <w:t xml:space="preserve"> </w:t>
      </w:r>
      <w:bookmarkEnd w:id="11"/>
      <w:r w:rsidRPr="00380EC8">
        <w:rPr>
          <w:rFonts w:ascii="Calibri" w:eastAsiaTheme="minorEastAsia" w:hAnsi="Calibri" w:cs="Calibri"/>
          <w:color w:val="000000" w:themeColor="text1"/>
          <w:kern w:val="24"/>
        </w:rPr>
        <w:t xml:space="preserve">ANOVA testing was done on the </w:t>
      </w:r>
      <w:r>
        <w:rPr>
          <w:rFonts w:ascii="Calibri" w:eastAsiaTheme="minorEastAsia" w:hAnsi="Calibri" w:cs="Calibri"/>
          <w:color w:val="000000" w:themeColor="text1"/>
          <w:kern w:val="24"/>
        </w:rPr>
        <w:t xml:space="preserve">correlation </w:t>
      </w:r>
      <w:r w:rsidRPr="00380EC8">
        <w:rPr>
          <w:rFonts w:ascii="Calibri" w:eastAsiaTheme="minorEastAsia" w:hAnsi="Calibri" w:cs="Calibri"/>
          <w:color w:val="000000" w:themeColor="text1"/>
          <w:kern w:val="24"/>
        </w:rPr>
        <w:t xml:space="preserve">datasets, generating a </w:t>
      </w:r>
      <w:r w:rsidRPr="00380EC8">
        <w:rPr>
          <w:rFonts w:ascii="Calibri" w:eastAsiaTheme="minorEastAsia" w:hAnsi="Calibri" w:cs="Calibri"/>
          <w:b/>
          <w:bCs/>
          <w:color w:val="000000" w:themeColor="text1"/>
          <w:kern w:val="24"/>
        </w:rPr>
        <w:t>0.33</w:t>
      </w:r>
      <w:r w:rsidRPr="00380EC8">
        <w:rPr>
          <w:rFonts w:ascii="Calibri" w:eastAsiaTheme="minorEastAsia" w:hAnsi="Calibri" w:cs="Calibri"/>
          <w:color w:val="000000" w:themeColor="text1"/>
          <w:kern w:val="24"/>
        </w:rPr>
        <w:t xml:space="preserve"> </w:t>
      </w:r>
      <w:proofErr w:type="spellStart"/>
      <w:r w:rsidRPr="00380EC8">
        <w:rPr>
          <w:rFonts w:ascii="Calibri" w:eastAsiaTheme="minorEastAsia" w:hAnsi="Calibri" w:cs="Calibri"/>
          <w:b/>
          <w:bCs/>
          <w:color w:val="000000" w:themeColor="text1"/>
          <w:kern w:val="24"/>
        </w:rPr>
        <w:t>pvalue</w:t>
      </w:r>
      <w:proofErr w:type="spellEnd"/>
      <w:r w:rsidRPr="00380EC8">
        <w:rPr>
          <w:rFonts w:ascii="Calibri" w:eastAsiaTheme="minorEastAsia" w:hAnsi="Calibri" w:cs="Calibri"/>
          <w:color w:val="000000" w:themeColor="text1"/>
          <w:kern w:val="24"/>
        </w:rPr>
        <w:t xml:space="preserve"> indicating there is no significant statistical difference in those datasets.</w:t>
      </w:r>
    </w:p>
    <w:p w14:paraId="3D8A121B" w14:textId="693E0BE9" w:rsidR="00C900D6" w:rsidRDefault="00C900D6" w:rsidP="00C900D6">
      <w:pPr>
        <w:pStyle w:val="NoSpacing"/>
      </w:pPr>
    </w:p>
    <w:p w14:paraId="1FA5D43D" w14:textId="3AC49E07" w:rsidR="00C900D6" w:rsidRDefault="00C900D6" w:rsidP="00C900D6">
      <w:pPr>
        <w:pStyle w:val="NoSpacing"/>
        <w:rPr>
          <w:u w:val="single"/>
        </w:rPr>
      </w:pPr>
      <w:r w:rsidRPr="00C900D6">
        <w:rPr>
          <w:u w:val="single"/>
        </w:rPr>
        <w:t>Utilizing Pie Charts</w:t>
      </w:r>
    </w:p>
    <w:p w14:paraId="23EF4B43" w14:textId="381197ED" w:rsidR="00C900D6" w:rsidRDefault="00C900D6" w:rsidP="00C900D6">
      <w:pPr>
        <w:pStyle w:val="NoSpacing"/>
      </w:pPr>
      <w:bookmarkStart w:id="12" w:name="_Hlk63292442"/>
      <w:r w:rsidRPr="00C900D6">
        <w:rPr>
          <w:b/>
          <w:bCs/>
        </w:rPr>
        <w:t>Step 5</w:t>
      </w:r>
      <w:r w:rsidRPr="00C900D6">
        <w:t>:</w:t>
      </w:r>
      <w:r>
        <w:t xml:space="preserve"> Compare 2020 </w:t>
      </w:r>
      <w:r w:rsidRPr="00C900D6">
        <w:rPr>
          <w:b/>
          <w:bCs/>
        </w:rPr>
        <w:t>Influenza Pneumonia</w:t>
      </w:r>
      <w:r>
        <w:t xml:space="preserve"> and </w:t>
      </w:r>
      <w:r w:rsidRPr="00C900D6">
        <w:rPr>
          <w:b/>
          <w:bCs/>
        </w:rPr>
        <w:t>Non-Pneumonia Deaths</w:t>
      </w:r>
      <w:r>
        <w:t>.</w:t>
      </w:r>
    </w:p>
    <w:p w14:paraId="15FE3FE8" w14:textId="52F08DEF" w:rsidR="00746CA2" w:rsidRPr="00C900D6" w:rsidRDefault="00746CA2" w:rsidP="00C900D6">
      <w:pPr>
        <w:pStyle w:val="NoSpacing"/>
      </w:pPr>
      <w:r>
        <w:tab/>
      </w:r>
      <w:bookmarkStart w:id="13" w:name="_Hlk63362502"/>
      <w:bookmarkStart w:id="14" w:name="_Hlk63362639"/>
      <w:r w:rsidRPr="00380EC8">
        <w:rPr>
          <w:rFonts w:ascii="Calibri" w:hAnsi="Calibri" w:cs="Calibri"/>
          <w:u w:val="single"/>
        </w:rPr>
        <w:t>Findings</w:t>
      </w:r>
      <w:r w:rsidRPr="00380EC8">
        <w:rPr>
          <w:rFonts w:ascii="Calibri" w:hAnsi="Calibri" w:cs="Calibri"/>
        </w:rPr>
        <w:t>:</w:t>
      </w:r>
      <w:r>
        <w:rPr>
          <w:rFonts w:ascii="Calibri" w:hAnsi="Calibri" w:cs="Calibri"/>
        </w:rPr>
        <w:t xml:space="preserve"> </w:t>
      </w:r>
      <w:bookmarkEnd w:id="14"/>
      <w:r>
        <w:rPr>
          <w:rFonts w:ascii="Calibri" w:hAnsi="Calibri" w:cs="Calibri"/>
        </w:rPr>
        <w:t xml:space="preserve">Pneumonia </w:t>
      </w:r>
      <w:r w:rsidRPr="00746CA2">
        <w:rPr>
          <w:rFonts w:ascii="Calibri" w:hAnsi="Calibri" w:cs="Calibri"/>
          <w:b/>
          <w:bCs/>
        </w:rPr>
        <w:t>94.7%</w:t>
      </w:r>
      <w:r>
        <w:rPr>
          <w:rFonts w:ascii="Calibri" w:hAnsi="Calibri" w:cs="Calibri"/>
        </w:rPr>
        <w:t xml:space="preserve"> (</w:t>
      </w:r>
      <w:r w:rsidRPr="00746CA2">
        <w:rPr>
          <w:rFonts w:ascii="Calibri" w:hAnsi="Calibri" w:cs="Calibri"/>
          <w:b/>
          <w:bCs/>
        </w:rPr>
        <w:t>168,377</w:t>
      </w:r>
      <w:r>
        <w:rPr>
          <w:rFonts w:ascii="Calibri" w:hAnsi="Calibri" w:cs="Calibri"/>
        </w:rPr>
        <w:t xml:space="preserve">), Non-Pneumonia </w:t>
      </w:r>
      <w:r w:rsidRPr="00746CA2">
        <w:rPr>
          <w:rFonts w:ascii="Calibri" w:hAnsi="Calibri" w:cs="Calibri"/>
          <w:b/>
          <w:bCs/>
        </w:rPr>
        <w:t>5.3%</w:t>
      </w:r>
      <w:r>
        <w:rPr>
          <w:rFonts w:ascii="Calibri" w:hAnsi="Calibri" w:cs="Calibri"/>
        </w:rPr>
        <w:t xml:space="preserve"> (</w:t>
      </w:r>
      <w:r w:rsidRPr="00746CA2">
        <w:rPr>
          <w:rFonts w:ascii="Calibri" w:hAnsi="Calibri" w:cs="Calibri"/>
          <w:b/>
          <w:bCs/>
        </w:rPr>
        <w:t>9,361</w:t>
      </w:r>
      <w:r>
        <w:rPr>
          <w:rFonts w:ascii="Calibri" w:hAnsi="Calibri" w:cs="Calibri"/>
        </w:rPr>
        <w:t>)</w:t>
      </w:r>
      <w:bookmarkEnd w:id="13"/>
    </w:p>
    <w:bookmarkEnd w:id="12"/>
    <w:p w14:paraId="615E4448" w14:textId="7DEF6A18" w:rsidR="00C900D6" w:rsidRDefault="00C900D6" w:rsidP="00C900D6">
      <w:pPr>
        <w:pStyle w:val="NoSpacing"/>
      </w:pPr>
      <w:r w:rsidRPr="00C900D6">
        <w:rPr>
          <w:b/>
          <w:bCs/>
        </w:rPr>
        <w:t xml:space="preserve">Step </w:t>
      </w:r>
      <w:r>
        <w:rPr>
          <w:b/>
          <w:bCs/>
        </w:rPr>
        <w:t>6</w:t>
      </w:r>
      <w:r w:rsidRPr="00C900D6">
        <w:t>:</w:t>
      </w:r>
      <w:r>
        <w:t xml:space="preserve"> Compare 2020 </w:t>
      </w:r>
      <w:r>
        <w:rPr>
          <w:b/>
          <w:bCs/>
        </w:rPr>
        <w:t xml:space="preserve">Covid-19 </w:t>
      </w:r>
      <w:r w:rsidRPr="00C900D6">
        <w:rPr>
          <w:b/>
          <w:bCs/>
        </w:rPr>
        <w:t>Pneumonia</w:t>
      </w:r>
      <w:r>
        <w:t xml:space="preserve"> and </w:t>
      </w:r>
      <w:r w:rsidRPr="00C900D6">
        <w:rPr>
          <w:b/>
          <w:bCs/>
        </w:rPr>
        <w:t>Non-Pneumonia Deaths</w:t>
      </w:r>
      <w:r>
        <w:t>.</w:t>
      </w:r>
    </w:p>
    <w:p w14:paraId="64C6087D" w14:textId="74A567E9" w:rsidR="00C900D6" w:rsidRDefault="00746CA2" w:rsidP="00C900D6">
      <w:pPr>
        <w:pStyle w:val="NoSpacing"/>
        <w:rPr>
          <w:rFonts w:ascii="Calibri" w:hAnsi="Calibri" w:cs="Calibri"/>
        </w:rPr>
      </w:pPr>
      <w:r>
        <w:tab/>
      </w:r>
      <w:r w:rsidRPr="00380EC8">
        <w:rPr>
          <w:rFonts w:ascii="Calibri" w:hAnsi="Calibri" w:cs="Calibri"/>
          <w:u w:val="single"/>
        </w:rPr>
        <w:t>Findings</w:t>
      </w:r>
      <w:r w:rsidRPr="00380EC8">
        <w:rPr>
          <w:rFonts w:ascii="Calibri" w:hAnsi="Calibri" w:cs="Calibri"/>
        </w:rPr>
        <w:t>:</w:t>
      </w:r>
      <w:r>
        <w:rPr>
          <w:rFonts w:ascii="Calibri" w:hAnsi="Calibri" w:cs="Calibri"/>
        </w:rPr>
        <w:t xml:space="preserve"> Pneumonia </w:t>
      </w:r>
      <w:r w:rsidRPr="00746CA2">
        <w:rPr>
          <w:rFonts w:ascii="Calibri" w:hAnsi="Calibri" w:cs="Calibri"/>
          <w:b/>
          <w:bCs/>
        </w:rPr>
        <w:t>46</w:t>
      </w:r>
      <w:r w:rsidRPr="00746CA2">
        <w:rPr>
          <w:rFonts w:ascii="Calibri" w:hAnsi="Calibri" w:cs="Calibri"/>
          <w:b/>
          <w:bCs/>
        </w:rPr>
        <w:t>.</w:t>
      </w:r>
      <w:r w:rsidRPr="00746CA2">
        <w:rPr>
          <w:rFonts w:ascii="Calibri" w:hAnsi="Calibri" w:cs="Calibri"/>
          <w:b/>
          <w:bCs/>
        </w:rPr>
        <w:t>0</w:t>
      </w:r>
      <w:r w:rsidRPr="00746CA2">
        <w:rPr>
          <w:rFonts w:ascii="Calibri" w:hAnsi="Calibri" w:cs="Calibri"/>
          <w:b/>
          <w:bCs/>
        </w:rPr>
        <w:t>%</w:t>
      </w:r>
      <w:r>
        <w:rPr>
          <w:rFonts w:ascii="Calibri" w:hAnsi="Calibri" w:cs="Calibri"/>
        </w:rPr>
        <w:t xml:space="preserve"> (</w:t>
      </w:r>
      <w:r w:rsidRPr="00746CA2">
        <w:rPr>
          <w:rFonts w:ascii="Calibri" w:hAnsi="Calibri" w:cs="Calibri"/>
          <w:b/>
          <w:bCs/>
        </w:rPr>
        <w:t>1</w:t>
      </w:r>
      <w:r w:rsidRPr="00746CA2">
        <w:rPr>
          <w:rFonts w:ascii="Calibri" w:hAnsi="Calibri" w:cs="Calibri"/>
          <w:b/>
          <w:bCs/>
        </w:rPr>
        <w:t>0</w:t>
      </w:r>
      <w:r w:rsidRPr="00746CA2">
        <w:rPr>
          <w:rFonts w:ascii="Calibri" w:hAnsi="Calibri" w:cs="Calibri"/>
          <w:b/>
          <w:bCs/>
        </w:rPr>
        <w:t>8,</w:t>
      </w:r>
      <w:r w:rsidRPr="00746CA2">
        <w:rPr>
          <w:rFonts w:ascii="Calibri" w:hAnsi="Calibri" w:cs="Calibri"/>
          <w:b/>
          <w:bCs/>
        </w:rPr>
        <w:t>462</w:t>
      </w:r>
      <w:r>
        <w:rPr>
          <w:rFonts w:ascii="Calibri" w:hAnsi="Calibri" w:cs="Calibri"/>
        </w:rPr>
        <w:t xml:space="preserve">), Non-Pneumonia </w:t>
      </w:r>
      <w:r w:rsidRPr="00746CA2">
        <w:rPr>
          <w:rFonts w:ascii="Calibri" w:hAnsi="Calibri" w:cs="Calibri"/>
          <w:b/>
          <w:bCs/>
        </w:rPr>
        <w:t>5</w:t>
      </w:r>
      <w:r w:rsidRPr="00746CA2">
        <w:rPr>
          <w:rFonts w:ascii="Calibri" w:hAnsi="Calibri" w:cs="Calibri"/>
          <w:b/>
          <w:bCs/>
        </w:rPr>
        <w:t>4</w:t>
      </w:r>
      <w:r w:rsidRPr="00746CA2">
        <w:rPr>
          <w:rFonts w:ascii="Calibri" w:hAnsi="Calibri" w:cs="Calibri"/>
          <w:b/>
          <w:bCs/>
        </w:rPr>
        <w:t>.</w:t>
      </w:r>
      <w:r w:rsidRPr="00746CA2">
        <w:rPr>
          <w:rFonts w:ascii="Calibri" w:hAnsi="Calibri" w:cs="Calibri"/>
          <w:b/>
          <w:bCs/>
        </w:rPr>
        <w:t>0</w:t>
      </w:r>
      <w:r w:rsidRPr="00746CA2">
        <w:rPr>
          <w:rFonts w:ascii="Calibri" w:hAnsi="Calibri" w:cs="Calibri"/>
          <w:b/>
          <w:bCs/>
        </w:rPr>
        <w:t>%</w:t>
      </w:r>
      <w:r>
        <w:rPr>
          <w:rFonts w:ascii="Calibri" w:hAnsi="Calibri" w:cs="Calibri"/>
        </w:rPr>
        <w:t xml:space="preserve"> (</w:t>
      </w:r>
      <w:r w:rsidRPr="00746CA2">
        <w:rPr>
          <w:rFonts w:ascii="Calibri" w:hAnsi="Calibri" w:cs="Calibri"/>
          <w:b/>
          <w:bCs/>
        </w:rPr>
        <w:t>127</w:t>
      </w:r>
      <w:r w:rsidRPr="00746CA2">
        <w:rPr>
          <w:rFonts w:ascii="Calibri" w:hAnsi="Calibri" w:cs="Calibri"/>
          <w:b/>
          <w:bCs/>
        </w:rPr>
        <w:t>,</w:t>
      </w:r>
      <w:r w:rsidRPr="00746CA2">
        <w:rPr>
          <w:rFonts w:ascii="Calibri" w:hAnsi="Calibri" w:cs="Calibri"/>
          <w:b/>
          <w:bCs/>
        </w:rPr>
        <w:t>283</w:t>
      </w:r>
      <w:r>
        <w:rPr>
          <w:rFonts w:ascii="Calibri" w:hAnsi="Calibri" w:cs="Calibri"/>
        </w:rPr>
        <w:t>)</w:t>
      </w:r>
    </w:p>
    <w:p w14:paraId="0890579D" w14:textId="77777777" w:rsidR="00746CA2" w:rsidRDefault="00746CA2" w:rsidP="00C900D6">
      <w:pPr>
        <w:pStyle w:val="NoSpacing"/>
      </w:pPr>
    </w:p>
    <w:p w14:paraId="5E53AFB5" w14:textId="77777777" w:rsidR="003D5293" w:rsidRDefault="003D5293" w:rsidP="00C900D6">
      <w:pPr>
        <w:pStyle w:val="NoSpacing"/>
        <w:rPr>
          <w:u w:val="single"/>
        </w:rPr>
      </w:pPr>
    </w:p>
    <w:p w14:paraId="53D38EDE" w14:textId="77777777" w:rsidR="003D5293" w:rsidRDefault="003D5293" w:rsidP="00C900D6">
      <w:pPr>
        <w:pStyle w:val="NoSpacing"/>
        <w:rPr>
          <w:u w:val="single"/>
        </w:rPr>
      </w:pPr>
    </w:p>
    <w:p w14:paraId="489AD62F" w14:textId="77777777" w:rsidR="003D5293" w:rsidRDefault="003D5293" w:rsidP="00C900D6">
      <w:pPr>
        <w:pStyle w:val="NoSpacing"/>
        <w:rPr>
          <w:u w:val="single"/>
        </w:rPr>
      </w:pPr>
    </w:p>
    <w:p w14:paraId="5ECC53F5" w14:textId="77777777" w:rsidR="003D5293" w:rsidRDefault="003D5293" w:rsidP="00C900D6">
      <w:pPr>
        <w:pStyle w:val="NoSpacing"/>
        <w:rPr>
          <w:u w:val="single"/>
        </w:rPr>
      </w:pPr>
    </w:p>
    <w:p w14:paraId="0E25956B" w14:textId="77777777" w:rsidR="003D5293" w:rsidRDefault="003D5293" w:rsidP="00C900D6">
      <w:pPr>
        <w:pStyle w:val="NoSpacing"/>
        <w:rPr>
          <w:u w:val="single"/>
        </w:rPr>
      </w:pPr>
    </w:p>
    <w:p w14:paraId="3D9F34E2" w14:textId="77777777" w:rsidR="003D5293" w:rsidRDefault="003D5293" w:rsidP="00C900D6">
      <w:pPr>
        <w:pStyle w:val="NoSpacing"/>
        <w:rPr>
          <w:u w:val="single"/>
        </w:rPr>
      </w:pPr>
    </w:p>
    <w:p w14:paraId="22EDB042" w14:textId="77777777" w:rsidR="003D5293" w:rsidRDefault="003D5293" w:rsidP="00C900D6">
      <w:pPr>
        <w:pStyle w:val="NoSpacing"/>
        <w:rPr>
          <w:u w:val="single"/>
        </w:rPr>
      </w:pPr>
    </w:p>
    <w:p w14:paraId="64A54AF2" w14:textId="77777777" w:rsidR="003D5293" w:rsidRDefault="003D5293" w:rsidP="00C900D6">
      <w:pPr>
        <w:pStyle w:val="NoSpacing"/>
        <w:rPr>
          <w:u w:val="single"/>
        </w:rPr>
      </w:pPr>
    </w:p>
    <w:p w14:paraId="71AD0AEF" w14:textId="00E82377" w:rsidR="00C900D6" w:rsidRPr="00C900D6" w:rsidRDefault="00C900D6" w:rsidP="00C900D6">
      <w:pPr>
        <w:pStyle w:val="NoSpacing"/>
        <w:rPr>
          <w:u w:val="single"/>
        </w:rPr>
      </w:pPr>
      <w:r w:rsidRPr="00C900D6">
        <w:rPr>
          <w:u w:val="single"/>
        </w:rPr>
        <w:t>References</w:t>
      </w:r>
    </w:p>
    <w:p w14:paraId="69BFC7DF" w14:textId="247DC494" w:rsidR="00222219" w:rsidRDefault="00C900D6" w:rsidP="00222219">
      <w:pPr>
        <w:pStyle w:val="NoSpacing"/>
      </w:pPr>
      <w:r w:rsidRPr="00C900D6">
        <w:rPr>
          <w:b/>
          <w:bCs/>
        </w:rPr>
        <w:t>Step 7</w:t>
      </w:r>
      <w:r>
        <w:t xml:space="preserve">: Provide a link concerning </w:t>
      </w:r>
      <w:r w:rsidRPr="00C900D6">
        <w:rPr>
          <w:b/>
          <w:bCs/>
        </w:rPr>
        <w:t>Comorbidities</w:t>
      </w:r>
      <w:r>
        <w:t xml:space="preserve"> associated with Covid-19 deaths.</w:t>
      </w:r>
    </w:p>
    <w:p w14:paraId="40FEEE8C" w14:textId="0F125B09" w:rsidR="00746CA2" w:rsidRDefault="00746CA2" w:rsidP="00746CA2">
      <w:pPr>
        <w:pStyle w:val="NormalWeb"/>
        <w:spacing w:before="0" w:beforeAutospacing="0" w:after="0" w:afterAutospacing="0"/>
        <w:rPr>
          <w:rFonts w:ascii="Segoe UI" w:eastAsiaTheme="minorEastAsia" w:hAnsi="Segoe UI" w:cs="Segoe UI"/>
          <w:color w:val="000000" w:themeColor="text1"/>
          <w:kern w:val="24"/>
          <w:sz w:val="21"/>
          <w:szCs w:val="21"/>
        </w:rPr>
      </w:pPr>
      <w:r>
        <w:tab/>
      </w:r>
      <w:bookmarkStart w:id="15" w:name="_Hlk63362812"/>
      <w:r w:rsidRPr="00380EC8">
        <w:rPr>
          <w:rFonts w:ascii="Calibri" w:hAnsi="Calibri" w:cs="Calibri"/>
          <w:sz w:val="22"/>
          <w:szCs w:val="22"/>
          <w:u w:val="single"/>
        </w:rPr>
        <w:t>Findings</w:t>
      </w:r>
      <w:r w:rsidRPr="00380EC8">
        <w:rPr>
          <w:rFonts w:ascii="Calibri" w:hAnsi="Calibri" w:cs="Calibri"/>
          <w:sz w:val="22"/>
          <w:szCs w:val="22"/>
        </w:rPr>
        <w:t>:</w:t>
      </w:r>
      <w:r>
        <w:rPr>
          <w:rFonts w:ascii="Calibri" w:hAnsi="Calibri" w:cs="Calibri"/>
        </w:rPr>
        <w:t xml:space="preserve"> </w:t>
      </w:r>
      <w:bookmarkEnd w:id="15"/>
      <w:r w:rsidRPr="00746CA2">
        <w:rPr>
          <w:rFonts w:ascii="Segoe UI" w:eastAsiaTheme="minorEastAsia" w:hAnsi="Segoe UI" w:cs="Segoe UI"/>
          <w:color w:val="000000" w:themeColor="text1"/>
          <w:kern w:val="24"/>
          <w:sz w:val="21"/>
          <w:szCs w:val="21"/>
        </w:rPr>
        <w:fldChar w:fldCharType="begin"/>
      </w:r>
      <w:r w:rsidRPr="00746CA2">
        <w:rPr>
          <w:rFonts w:ascii="Segoe UI" w:eastAsiaTheme="minorEastAsia" w:hAnsi="Segoe UI" w:cs="Segoe UI"/>
          <w:color w:val="000000" w:themeColor="text1"/>
          <w:kern w:val="24"/>
          <w:sz w:val="21"/>
          <w:szCs w:val="21"/>
        </w:rPr>
        <w:instrText xml:space="preserve"> HYPERLINK "https://www.cdc.gov/nchs/nvss/vsrr/covid_weekly/index.htm" </w:instrText>
      </w:r>
      <w:r w:rsidRPr="00746CA2">
        <w:rPr>
          <w:rFonts w:ascii="Segoe UI" w:eastAsiaTheme="minorEastAsia" w:hAnsi="Segoe UI" w:cs="Segoe UI"/>
          <w:color w:val="000000" w:themeColor="text1"/>
          <w:kern w:val="24"/>
          <w:sz w:val="21"/>
          <w:szCs w:val="21"/>
        </w:rPr>
        <w:fldChar w:fldCharType="separate"/>
      </w:r>
      <w:r w:rsidRPr="00746CA2">
        <w:rPr>
          <w:rFonts w:ascii="Segoe UI" w:eastAsiaTheme="minorEastAsia" w:hAnsi="Segoe UI" w:cs="Segoe UI"/>
          <w:color w:val="000000" w:themeColor="text1"/>
          <w:kern w:val="24"/>
          <w:sz w:val="21"/>
          <w:szCs w:val="21"/>
          <w:u w:val="single"/>
        </w:rPr>
        <w:t>https://www.cdc.g</w:t>
      </w:r>
      <w:r w:rsidRPr="00746CA2">
        <w:rPr>
          <w:rFonts w:ascii="Segoe UI" w:eastAsiaTheme="minorEastAsia" w:hAnsi="Segoe UI" w:cs="Segoe UI"/>
          <w:color w:val="000000" w:themeColor="text1"/>
          <w:kern w:val="24"/>
          <w:sz w:val="21"/>
          <w:szCs w:val="21"/>
          <w:u w:val="single"/>
        </w:rPr>
        <w:t>o</w:t>
      </w:r>
      <w:r w:rsidRPr="00746CA2">
        <w:rPr>
          <w:rFonts w:ascii="Segoe UI" w:eastAsiaTheme="minorEastAsia" w:hAnsi="Segoe UI" w:cs="Segoe UI"/>
          <w:color w:val="000000" w:themeColor="text1"/>
          <w:kern w:val="24"/>
          <w:sz w:val="21"/>
          <w:szCs w:val="21"/>
          <w:u w:val="single"/>
        </w:rPr>
        <w:t>v/nchs/nvss/vsrr/covid_weekly/index.htm</w:t>
      </w:r>
      <w:r w:rsidRPr="00746CA2">
        <w:rPr>
          <w:rFonts w:ascii="Segoe UI" w:eastAsiaTheme="minorEastAsia" w:hAnsi="Segoe UI" w:cs="Segoe UI"/>
          <w:color w:val="000000" w:themeColor="text1"/>
          <w:kern w:val="24"/>
          <w:sz w:val="21"/>
          <w:szCs w:val="21"/>
        </w:rPr>
        <w:fldChar w:fldCharType="end"/>
      </w:r>
    </w:p>
    <w:p w14:paraId="63DC2AFE" w14:textId="77777777" w:rsidR="00746CA2" w:rsidRPr="00746CA2" w:rsidRDefault="00746CA2" w:rsidP="00746CA2">
      <w:pPr>
        <w:pStyle w:val="NormalWeb"/>
        <w:spacing w:before="0" w:beforeAutospacing="0" w:after="0" w:afterAutospacing="0"/>
      </w:pPr>
      <w:r>
        <w:rPr>
          <w:rFonts w:ascii="Segoe UI" w:eastAsiaTheme="minorEastAsia" w:hAnsi="Segoe UI" w:cs="Segoe UI"/>
          <w:color w:val="000000" w:themeColor="text1"/>
          <w:kern w:val="24"/>
          <w:sz w:val="21"/>
          <w:szCs w:val="21"/>
        </w:rPr>
        <w:tab/>
      </w:r>
      <w:r w:rsidRPr="00746CA2">
        <w:rPr>
          <w:rFonts w:ascii="Segoe UI" w:eastAsiaTheme="minorEastAsia" w:hAnsi="Segoe UI" w:cs="Segoe UI"/>
          <w:b/>
          <w:bCs/>
          <w:color w:val="000000" w:themeColor="text1"/>
          <w:kern w:val="24"/>
          <w:sz w:val="21"/>
          <w:szCs w:val="21"/>
        </w:rPr>
        <w:t>Comorbidities</w:t>
      </w:r>
    </w:p>
    <w:p w14:paraId="07EB317E" w14:textId="3F941AF6" w:rsidR="00746CA2" w:rsidRPr="00746CA2" w:rsidRDefault="00746CA2" w:rsidP="00746CA2">
      <w:pPr>
        <w:spacing w:after="0" w:line="240" w:lineRule="auto"/>
        <w:ind w:left="720"/>
        <w:rPr>
          <w:rFonts w:ascii="Times New Roman" w:eastAsia="Times New Roman" w:hAnsi="Times New Roman" w:cs="Times New Roman"/>
          <w:sz w:val="24"/>
          <w:szCs w:val="24"/>
        </w:rPr>
      </w:pPr>
      <w:r w:rsidRPr="00746CA2">
        <w:rPr>
          <w:rFonts w:ascii="Segoe UI" w:eastAsiaTheme="minorEastAsia" w:hAnsi="Segoe UI" w:cs="Segoe UI"/>
          <w:color w:val="000000" w:themeColor="text1"/>
          <w:kern w:val="24"/>
          <w:sz w:val="21"/>
          <w:szCs w:val="21"/>
        </w:rPr>
        <w:t>Table 3 shows the types of health conditions and contributing causes mentioned in conjunction with deaths involving coronavirus disease 2019 (COVID-19).</w:t>
      </w:r>
      <w:r>
        <w:rPr>
          <w:rFonts w:ascii="Times New Roman" w:eastAsia="Times New Roman" w:hAnsi="Times New Roman" w:cs="Times New Roman"/>
          <w:sz w:val="24"/>
          <w:szCs w:val="24"/>
        </w:rPr>
        <w:t xml:space="preserve">  </w:t>
      </w:r>
      <w:r w:rsidRPr="00746CA2">
        <w:rPr>
          <w:rFonts w:ascii="Segoe UI" w:eastAsiaTheme="minorEastAsia" w:hAnsi="Segoe UI" w:cs="Segoe UI"/>
          <w:color w:val="000000" w:themeColor="text1"/>
          <w:kern w:val="24"/>
          <w:sz w:val="21"/>
          <w:szCs w:val="21"/>
        </w:rPr>
        <w:t xml:space="preserve">For </w:t>
      </w:r>
      <w:r w:rsidRPr="00746CA2">
        <w:rPr>
          <w:rFonts w:ascii="Segoe UI" w:eastAsiaTheme="minorEastAsia" w:hAnsi="Segoe UI" w:cs="Segoe UI"/>
          <w:b/>
          <w:bCs/>
          <w:color w:val="000000" w:themeColor="text1"/>
          <w:kern w:val="24"/>
          <w:sz w:val="21"/>
          <w:szCs w:val="21"/>
        </w:rPr>
        <w:t xml:space="preserve">6% </w:t>
      </w:r>
      <w:r w:rsidRPr="00746CA2">
        <w:rPr>
          <w:rFonts w:ascii="Segoe UI" w:eastAsiaTheme="minorEastAsia" w:hAnsi="Segoe UI" w:cs="Segoe UI"/>
          <w:color w:val="000000" w:themeColor="text1"/>
          <w:kern w:val="24"/>
          <w:sz w:val="21"/>
          <w:szCs w:val="21"/>
        </w:rPr>
        <w:t xml:space="preserve">of the deaths, COVID-19 was the only cause mentioned. For deaths with conditions or causes in addition to COVID-19, on average, there were </w:t>
      </w:r>
      <w:r w:rsidRPr="00746CA2">
        <w:rPr>
          <w:rFonts w:ascii="Segoe UI" w:eastAsiaTheme="minorEastAsia" w:hAnsi="Segoe UI" w:cs="Segoe UI"/>
          <w:b/>
          <w:bCs/>
          <w:color w:val="000000" w:themeColor="text1"/>
          <w:kern w:val="24"/>
          <w:sz w:val="21"/>
          <w:szCs w:val="21"/>
        </w:rPr>
        <w:t>2.9</w:t>
      </w:r>
      <w:r w:rsidRPr="00746CA2">
        <w:rPr>
          <w:rFonts w:ascii="Segoe UI" w:eastAsiaTheme="minorEastAsia" w:hAnsi="Segoe UI" w:cs="Segoe UI"/>
          <w:color w:val="000000" w:themeColor="text1"/>
          <w:kern w:val="24"/>
          <w:sz w:val="21"/>
          <w:szCs w:val="21"/>
        </w:rPr>
        <w:t xml:space="preserve"> additional conditions or causes per death.</w:t>
      </w:r>
    </w:p>
    <w:p w14:paraId="6EB92550" w14:textId="2FDB3220" w:rsidR="00C900D6" w:rsidRDefault="00C900D6" w:rsidP="00C900D6">
      <w:pPr>
        <w:pStyle w:val="NoSpacing"/>
      </w:pPr>
      <w:r w:rsidRPr="00C900D6">
        <w:rPr>
          <w:b/>
          <w:bCs/>
        </w:rPr>
        <w:t xml:space="preserve">Step </w:t>
      </w:r>
      <w:r>
        <w:rPr>
          <w:b/>
          <w:bCs/>
        </w:rPr>
        <w:t>8</w:t>
      </w:r>
      <w:r>
        <w:t xml:space="preserve">: Provide a link concerning </w:t>
      </w:r>
      <w:r w:rsidRPr="00C900D6">
        <w:rPr>
          <w:b/>
          <w:bCs/>
        </w:rPr>
        <w:t>C</w:t>
      </w:r>
      <w:r w:rsidR="003F2018">
        <w:rPr>
          <w:b/>
          <w:bCs/>
        </w:rPr>
        <w:t xml:space="preserve">ARES Act </w:t>
      </w:r>
      <w:r w:rsidR="003F2018" w:rsidRPr="003F2018">
        <w:t>compensation</w:t>
      </w:r>
      <w:r>
        <w:t xml:space="preserve"> </w:t>
      </w:r>
      <w:r w:rsidR="003F2018">
        <w:t>made available to hospitals during the Covid-19 epidemic</w:t>
      </w:r>
      <w:r>
        <w:t>.</w:t>
      </w:r>
    </w:p>
    <w:p w14:paraId="0C94E396" w14:textId="120FA60C" w:rsidR="00746CA2" w:rsidRDefault="00746CA2" w:rsidP="00746CA2">
      <w:pPr>
        <w:pStyle w:val="NormalWeb"/>
        <w:spacing w:before="0" w:beforeAutospacing="0" w:after="0" w:afterAutospacing="0"/>
        <w:ind w:left="720"/>
        <w:rPr>
          <w:rFonts w:ascii="Segoe UI" w:eastAsiaTheme="minorEastAsia" w:hAnsi="Segoe UI" w:cs="Segoe UI"/>
          <w:color w:val="000000" w:themeColor="text1"/>
          <w:kern w:val="24"/>
          <w:sz w:val="21"/>
          <w:szCs w:val="21"/>
        </w:rPr>
      </w:pPr>
      <w:bookmarkStart w:id="16" w:name="_Hlk63362995"/>
      <w:r w:rsidRPr="00380EC8">
        <w:rPr>
          <w:rFonts w:ascii="Calibri" w:hAnsi="Calibri" w:cs="Calibri"/>
          <w:sz w:val="22"/>
          <w:szCs w:val="22"/>
          <w:u w:val="single"/>
        </w:rPr>
        <w:t>Findings</w:t>
      </w:r>
      <w:r w:rsidRPr="00380EC8">
        <w:rPr>
          <w:rFonts w:ascii="Calibri" w:hAnsi="Calibri" w:cs="Calibri"/>
          <w:sz w:val="22"/>
          <w:szCs w:val="22"/>
        </w:rPr>
        <w:t>:</w:t>
      </w:r>
      <w:r>
        <w:rPr>
          <w:rFonts w:ascii="Calibri" w:hAnsi="Calibri" w:cs="Calibri"/>
        </w:rPr>
        <w:t xml:space="preserve"> </w:t>
      </w:r>
      <w:bookmarkEnd w:id="16"/>
      <w:r w:rsidRPr="003D5293">
        <w:rPr>
          <w:rFonts w:ascii="Calibri" w:eastAsiaTheme="minorEastAsia" w:hAnsi="Calibri" w:cs="Calibri"/>
          <w:color w:val="000000" w:themeColor="text1"/>
          <w:kern w:val="24"/>
          <w:sz w:val="22"/>
          <w:szCs w:val="22"/>
          <w:u w:val="single"/>
        </w:rPr>
        <w:fldChar w:fldCharType="begin"/>
      </w:r>
      <w:r w:rsidRPr="003D5293">
        <w:rPr>
          <w:rFonts w:ascii="Calibri" w:eastAsiaTheme="minorEastAsia" w:hAnsi="Calibri" w:cs="Calibri"/>
          <w:color w:val="000000" w:themeColor="text1"/>
          <w:kern w:val="24"/>
          <w:sz w:val="22"/>
          <w:szCs w:val="22"/>
          <w:u w:val="single"/>
        </w:rPr>
        <w:instrText xml:space="preserve"> HYPERLINK "</w:instrText>
      </w:r>
      <w:r w:rsidRPr="003D5293">
        <w:rPr>
          <w:rFonts w:ascii="Calibri" w:eastAsiaTheme="minorEastAsia" w:hAnsi="Calibri" w:cs="Calibri"/>
          <w:color w:val="000000" w:themeColor="text1"/>
          <w:kern w:val="24"/>
          <w:sz w:val="22"/>
          <w:szCs w:val="22"/>
          <w:u w:val="single"/>
        </w:rPr>
        <w:instrText>https://www.aha.org/advisory/2020-04-16-coronavirus-update-cms-releases-guidance-implementing-cares-act-provisions</w:instrText>
      </w:r>
      <w:r w:rsidRPr="003D5293">
        <w:rPr>
          <w:rFonts w:ascii="Calibri" w:eastAsiaTheme="minorEastAsia" w:hAnsi="Calibri" w:cs="Calibri"/>
          <w:color w:val="000000" w:themeColor="text1"/>
          <w:kern w:val="24"/>
          <w:sz w:val="22"/>
          <w:szCs w:val="22"/>
          <w:u w:val="single"/>
        </w:rPr>
        <w:instrText xml:space="preserve">" </w:instrText>
      </w:r>
      <w:r w:rsidRPr="003D5293">
        <w:rPr>
          <w:rFonts w:ascii="Calibri" w:eastAsiaTheme="minorEastAsia" w:hAnsi="Calibri" w:cs="Calibri"/>
          <w:color w:val="000000" w:themeColor="text1"/>
          <w:kern w:val="24"/>
          <w:sz w:val="22"/>
          <w:szCs w:val="22"/>
          <w:u w:val="single"/>
        </w:rPr>
        <w:fldChar w:fldCharType="separate"/>
      </w:r>
      <w:r w:rsidRPr="003D5293">
        <w:rPr>
          <w:rStyle w:val="Hyperlink"/>
          <w:rFonts w:ascii="Calibri" w:eastAsiaTheme="minorEastAsia" w:hAnsi="Calibri" w:cs="Calibri"/>
          <w:kern w:val="24"/>
          <w:sz w:val="22"/>
          <w:szCs w:val="22"/>
        </w:rPr>
        <w:t>https://www.aha.org/advisory/2020-04-16-coronavirus-update-cms-releases-guidance-implementing-cares-act-provisions</w:t>
      </w:r>
      <w:r w:rsidRPr="003D5293">
        <w:rPr>
          <w:rFonts w:ascii="Calibri" w:eastAsiaTheme="minorEastAsia" w:hAnsi="Calibri" w:cs="Calibri"/>
          <w:color w:val="000000" w:themeColor="text1"/>
          <w:kern w:val="24"/>
          <w:sz w:val="22"/>
          <w:szCs w:val="22"/>
          <w:u w:val="single"/>
        </w:rPr>
        <w:fldChar w:fldCharType="end"/>
      </w:r>
    </w:p>
    <w:p w14:paraId="35C400F5" w14:textId="1028B7D8" w:rsidR="00746CA2" w:rsidRPr="003D5293" w:rsidRDefault="00746CA2" w:rsidP="00746CA2">
      <w:pPr>
        <w:pStyle w:val="NormalWeb"/>
        <w:spacing w:before="0" w:beforeAutospacing="0" w:after="0" w:afterAutospacing="0"/>
        <w:ind w:left="720"/>
        <w:rPr>
          <w:rFonts w:ascii="Calibri" w:eastAsiaTheme="minorEastAsia" w:hAnsi="Calibri" w:cs="Calibri"/>
          <w:color w:val="000000" w:themeColor="text1"/>
          <w:kern w:val="24"/>
          <w:sz w:val="22"/>
          <w:szCs w:val="22"/>
        </w:rPr>
      </w:pPr>
      <w:r w:rsidRPr="003D5293">
        <w:rPr>
          <w:rFonts w:ascii="Calibri" w:eastAsiaTheme="minorEastAsia" w:hAnsi="Calibri" w:cs="Calibri"/>
          <w:color w:val="000000" w:themeColor="text1"/>
          <w:kern w:val="24"/>
          <w:sz w:val="22"/>
          <w:szCs w:val="22"/>
        </w:rPr>
        <w:t xml:space="preserve">The Centers for Medicare &amp; Medicaid Services (CMS) yesterday released new guidance implementing several provisions included in the Coronavirus Aid, Relief, and Economic Security (CARES) Act. </w:t>
      </w:r>
    </w:p>
    <w:p w14:paraId="7A0CF4F9" w14:textId="77777777" w:rsidR="00746CA2" w:rsidRPr="00746CA2" w:rsidRDefault="00746CA2" w:rsidP="00746CA2">
      <w:pPr>
        <w:spacing w:after="0" w:line="240" w:lineRule="auto"/>
        <w:ind w:firstLine="720"/>
        <w:rPr>
          <w:rFonts w:ascii="Calibri" w:eastAsia="Times New Roman" w:hAnsi="Calibri" w:cs="Calibri"/>
        </w:rPr>
      </w:pPr>
      <w:r w:rsidRPr="00746CA2">
        <w:rPr>
          <w:rFonts w:ascii="Calibri" w:eastAsiaTheme="minorEastAsia" w:hAnsi="Calibri" w:cs="Calibri"/>
          <w:color w:val="000000" w:themeColor="text1"/>
          <w:kern w:val="24"/>
        </w:rPr>
        <w:t>These provisions include:</w:t>
      </w:r>
    </w:p>
    <w:p w14:paraId="159AB336" w14:textId="1B3F3833" w:rsidR="00746CA2" w:rsidRPr="00746CA2" w:rsidRDefault="00746CA2" w:rsidP="00746CA2">
      <w:pPr>
        <w:spacing w:after="0" w:line="240" w:lineRule="auto"/>
        <w:ind w:left="720"/>
        <w:rPr>
          <w:rFonts w:ascii="Calibri" w:eastAsia="Times New Roman" w:hAnsi="Calibri" w:cs="Calibri"/>
        </w:rPr>
      </w:pPr>
      <w:r w:rsidRPr="00746CA2">
        <w:rPr>
          <w:rFonts w:ascii="Calibri" w:eastAsiaTheme="minorEastAsia" w:hAnsi="Calibri" w:cs="Calibri"/>
          <w:color w:val="000000" w:themeColor="text1"/>
          <w:kern w:val="24"/>
        </w:rPr>
        <w:t>A Medicare add-on payment of 20% for both rural and urban inpatient hospital COVID-19 patients;</w:t>
      </w:r>
      <w:r w:rsidRPr="003D5293">
        <w:rPr>
          <w:rFonts w:ascii="Calibri" w:eastAsia="Times New Roman" w:hAnsi="Calibri" w:cs="Calibri"/>
        </w:rPr>
        <w:t xml:space="preserve"> </w:t>
      </w:r>
      <w:r w:rsidRPr="00746CA2">
        <w:rPr>
          <w:rFonts w:ascii="Calibri" w:eastAsiaTheme="minorEastAsia" w:hAnsi="Calibri" w:cs="Calibri"/>
          <w:color w:val="000000" w:themeColor="text1"/>
          <w:kern w:val="24"/>
        </w:rPr>
        <w:t>Waiver of the long-term care hospital (LTCH) site-neutral policy for COVID-19 patients;</w:t>
      </w:r>
      <w:r w:rsidRPr="003D5293">
        <w:rPr>
          <w:rFonts w:ascii="Calibri" w:eastAsia="Times New Roman" w:hAnsi="Calibri" w:cs="Calibri"/>
        </w:rPr>
        <w:t xml:space="preserve"> </w:t>
      </w:r>
      <w:r w:rsidRPr="00746CA2">
        <w:rPr>
          <w:rFonts w:ascii="Calibri" w:eastAsiaTheme="minorEastAsia" w:hAnsi="Calibri" w:cs="Calibri"/>
          <w:color w:val="000000" w:themeColor="text1"/>
          <w:kern w:val="24"/>
        </w:rPr>
        <w:t>Waiver of the LTCH “50% Rule” for COVID-19 patients; and</w:t>
      </w:r>
    </w:p>
    <w:p w14:paraId="071EB88A" w14:textId="1D4A55BC" w:rsidR="00746CA2" w:rsidRPr="003D5293" w:rsidRDefault="00746CA2" w:rsidP="003D5293">
      <w:pPr>
        <w:spacing w:after="0" w:line="240" w:lineRule="auto"/>
        <w:ind w:firstLine="720"/>
        <w:rPr>
          <w:rFonts w:ascii="Calibri" w:eastAsia="Times New Roman" w:hAnsi="Calibri" w:cs="Calibri"/>
        </w:rPr>
      </w:pPr>
      <w:r w:rsidRPr="00746CA2">
        <w:rPr>
          <w:rFonts w:ascii="Calibri" w:eastAsiaTheme="minorEastAsia" w:hAnsi="Calibri" w:cs="Calibri"/>
          <w:color w:val="000000" w:themeColor="text1"/>
          <w:kern w:val="24"/>
        </w:rPr>
        <w:t xml:space="preserve">Waiver of the inpatient rehabilitation facility (IRF) “3-hour Rule” for COVID-19 patients </w:t>
      </w:r>
    </w:p>
    <w:p w14:paraId="75E9F292" w14:textId="2B0BC77F" w:rsidR="003F2018" w:rsidRDefault="003F2018" w:rsidP="00C900D6">
      <w:pPr>
        <w:pStyle w:val="NoSpacing"/>
      </w:pPr>
    </w:p>
    <w:p w14:paraId="7DF121BC" w14:textId="432657FA" w:rsidR="003F2018" w:rsidRPr="003F2018" w:rsidRDefault="003F2018" w:rsidP="00C900D6">
      <w:pPr>
        <w:pStyle w:val="NoSpacing"/>
        <w:rPr>
          <w:u w:val="single"/>
        </w:rPr>
      </w:pPr>
      <w:r w:rsidRPr="003F2018">
        <w:rPr>
          <w:u w:val="single"/>
        </w:rPr>
        <w:t>Thoughts</w:t>
      </w:r>
    </w:p>
    <w:p w14:paraId="337D6EA7" w14:textId="47C7C438" w:rsidR="00222219" w:rsidRDefault="003F2018" w:rsidP="00222219">
      <w:pPr>
        <w:pStyle w:val="NoSpacing"/>
      </w:pPr>
      <w:r w:rsidRPr="003F2018">
        <w:rPr>
          <w:b/>
          <w:bCs/>
        </w:rPr>
        <w:t>Step 9</w:t>
      </w:r>
      <w:r>
        <w:t>: Reflect on a little of what was seen in the previous charts.</w:t>
      </w:r>
    </w:p>
    <w:p w14:paraId="55BF77A7" w14:textId="29817CE5" w:rsidR="003D5293" w:rsidRDefault="003D5293" w:rsidP="003D5293">
      <w:pPr>
        <w:pStyle w:val="NormalWeb"/>
        <w:spacing w:before="0" w:beforeAutospacing="0" w:after="0" w:afterAutospacing="0"/>
        <w:ind w:left="720"/>
      </w:pPr>
      <w:r w:rsidRPr="003D5293">
        <w:rPr>
          <w:rFonts w:ascii="Calibri" w:eastAsiaTheme="minorEastAsia" w:hAnsi="Calibri" w:cs="Calibri"/>
          <w:color w:val="000000" w:themeColor="text1"/>
          <w:kern w:val="24"/>
          <w:sz w:val="22"/>
          <w:szCs w:val="22"/>
        </w:rPr>
        <w:t xml:space="preserve">The inactivity concerning the winter months that was previously mentioned was probably made worse by various factors associated with the Covid-19 response (shutdowns, unemployment, restrictions, fears, </w:t>
      </w:r>
      <w:proofErr w:type="spellStart"/>
      <w:r w:rsidRPr="003D5293">
        <w:rPr>
          <w:rFonts w:ascii="Calibri" w:eastAsiaTheme="minorEastAsia" w:hAnsi="Calibri" w:cs="Calibri"/>
          <w:color w:val="000000" w:themeColor="text1"/>
          <w:kern w:val="24"/>
          <w:sz w:val="22"/>
          <w:szCs w:val="22"/>
        </w:rPr>
        <w:t>etc</w:t>
      </w:r>
      <w:proofErr w:type="spellEnd"/>
      <w:r w:rsidRPr="003D5293">
        <w:rPr>
          <w:rFonts w:ascii="Calibri" w:eastAsiaTheme="minorEastAsia" w:hAnsi="Calibri" w:cs="Calibri"/>
          <w:color w:val="000000" w:themeColor="text1"/>
          <w:kern w:val="24"/>
          <w:sz w:val="22"/>
          <w:szCs w:val="22"/>
        </w:rPr>
        <w:t>…).</w:t>
      </w:r>
    </w:p>
    <w:p w14:paraId="42B735DE" w14:textId="54308F9E" w:rsidR="003F2018" w:rsidRDefault="003F2018" w:rsidP="00222219">
      <w:pPr>
        <w:pStyle w:val="NoSpacing"/>
      </w:pPr>
      <w:r w:rsidRPr="003F2018">
        <w:rPr>
          <w:b/>
          <w:bCs/>
        </w:rPr>
        <w:t>Step 10</w:t>
      </w:r>
      <w:r>
        <w:t>: Provide some explanation of link information.</w:t>
      </w:r>
    </w:p>
    <w:p w14:paraId="6602707F" w14:textId="7861181A" w:rsidR="003D5293" w:rsidRDefault="003D5293" w:rsidP="003D5293">
      <w:pPr>
        <w:pStyle w:val="NormalWeb"/>
        <w:spacing w:before="0" w:beforeAutospacing="0" w:after="0" w:afterAutospacing="0"/>
        <w:ind w:left="720"/>
      </w:pPr>
      <w:r w:rsidRPr="003D5293">
        <w:rPr>
          <w:rFonts w:ascii="Calibri" w:eastAsiaTheme="minorEastAsia" w:hAnsi="Calibri" w:cs="Calibri"/>
          <w:color w:val="000000" w:themeColor="text1"/>
          <w:kern w:val="24"/>
          <w:sz w:val="22"/>
          <w:szCs w:val="22"/>
        </w:rPr>
        <w:t xml:space="preserve">Concerning the links above, the first shows that those with </w:t>
      </w:r>
      <w:r w:rsidRPr="003D5293">
        <w:rPr>
          <w:rFonts w:ascii="Calibri" w:eastAsiaTheme="minorEastAsia" w:hAnsi="Calibri" w:cs="Calibri"/>
          <w:b/>
          <w:bCs/>
          <w:color w:val="000000" w:themeColor="text1"/>
          <w:kern w:val="24"/>
          <w:sz w:val="22"/>
          <w:szCs w:val="22"/>
        </w:rPr>
        <w:t>comorbidities</w:t>
      </w:r>
      <w:r w:rsidRPr="003D5293">
        <w:rPr>
          <w:rFonts w:ascii="Calibri" w:eastAsiaTheme="minorEastAsia" w:hAnsi="Calibri" w:cs="Calibri"/>
          <w:color w:val="000000" w:themeColor="text1"/>
          <w:kern w:val="24"/>
          <w:sz w:val="22"/>
          <w:szCs w:val="22"/>
        </w:rPr>
        <w:t xml:space="preserve"> were mostly likely to die from Covid-19, predominately the elderly who have them.  The second shows that the hospitals were gave an economic incentive via the </w:t>
      </w:r>
      <w:r w:rsidRPr="003D5293">
        <w:rPr>
          <w:rFonts w:ascii="Calibri" w:eastAsiaTheme="minorEastAsia" w:hAnsi="Calibri" w:cs="Calibri"/>
          <w:b/>
          <w:bCs/>
          <w:color w:val="000000" w:themeColor="text1"/>
          <w:kern w:val="24"/>
          <w:sz w:val="22"/>
          <w:szCs w:val="22"/>
        </w:rPr>
        <w:t>CARES</w:t>
      </w:r>
      <w:r w:rsidRPr="003D5293">
        <w:rPr>
          <w:rFonts w:ascii="Calibri" w:eastAsiaTheme="minorEastAsia" w:hAnsi="Calibri" w:cs="Calibri"/>
          <w:color w:val="000000" w:themeColor="text1"/>
          <w:kern w:val="24"/>
          <w:sz w:val="22"/>
          <w:szCs w:val="22"/>
        </w:rPr>
        <w:t xml:space="preserve"> act (</w:t>
      </w:r>
      <w:r w:rsidRPr="003D5293">
        <w:rPr>
          <w:rFonts w:ascii="Calibri" w:eastAsiaTheme="minorEastAsia" w:hAnsi="Calibri" w:cs="Calibri"/>
          <w:b/>
          <w:bCs/>
          <w:color w:val="000000" w:themeColor="text1"/>
          <w:kern w:val="24"/>
          <w:sz w:val="22"/>
          <w:szCs w:val="22"/>
        </w:rPr>
        <w:t>$100 billion allocated</w:t>
      </w:r>
      <w:r w:rsidRPr="003D5293">
        <w:rPr>
          <w:rFonts w:ascii="Calibri" w:eastAsiaTheme="minorEastAsia" w:hAnsi="Calibri" w:cs="Calibri"/>
          <w:color w:val="000000" w:themeColor="text1"/>
          <w:kern w:val="24"/>
          <w:sz w:val="22"/>
          <w:szCs w:val="22"/>
        </w:rPr>
        <w:t>) to identify and treat Covid-19 patients, whether they were insured or not, and whether they had or were being treated for other comorbidities or not.</w:t>
      </w:r>
    </w:p>
    <w:p w14:paraId="50EC244C" w14:textId="644D30BA" w:rsidR="003F2018" w:rsidRDefault="003F2018" w:rsidP="003F2018">
      <w:pPr>
        <w:pStyle w:val="NormalWeb"/>
        <w:spacing w:before="0" w:beforeAutospacing="0" w:after="0" w:afterAutospacing="0"/>
        <w:rPr>
          <w:rFonts w:ascii="Calibri" w:eastAsiaTheme="minorEastAsia" w:hAnsi="Calibri" w:cs="Calibri"/>
          <w:color w:val="000000" w:themeColor="text1"/>
          <w:kern w:val="24"/>
          <w:sz w:val="22"/>
          <w:szCs w:val="22"/>
        </w:rPr>
      </w:pPr>
      <w:r w:rsidRPr="003F2018">
        <w:rPr>
          <w:rFonts w:ascii="Calibri" w:hAnsi="Calibri" w:cs="Calibri"/>
          <w:b/>
          <w:bCs/>
          <w:sz w:val="22"/>
          <w:szCs w:val="22"/>
        </w:rPr>
        <w:t>Step 11</w:t>
      </w:r>
      <w:r w:rsidRPr="003F2018">
        <w:rPr>
          <w:rFonts w:ascii="Calibri" w:hAnsi="Calibri" w:cs="Calibri"/>
          <w:sz w:val="22"/>
          <w:szCs w:val="22"/>
        </w:rPr>
        <w:t>:</w:t>
      </w:r>
      <w:r>
        <w:t xml:space="preserve"> </w:t>
      </w:r>
      <w:r w:rsidRPr="003F2018">
        <w:rPr>
          <w:rFonts w:ascii="Calibri" w:hAnsi="Calibri" w:cs="Calibri"/>
          <w:sz w:val="22"/>
          <w:szCs w:val="22"/>
        </w:rPr>
        <w:t xml:space="preserve">Perform calculations to obtain an estimated number of </w:t>
      </w:r>
      <w:r w:rsidRPr="003F2018">
        <w:rPr>
          <w:rFonts w:ascii="Calibri" w:eastAsiaTheme="minorEastAsia" w:hAnsi="Calibri" w:cs="Calibri"/>
          <w:b/>
          <w:bCs/>
          <w:color w:val="000000" w:themeColor="text1"/>
          <w:kern w:val="24"/>
          <w:sz w:val="22"/>
          <w:szCs w:val="22"/>
        </w:rPr>
        <w:t>Weighted Covid-19 Deaths</w:t>
      </w:r>
      <w:r>
        <w:rPr>
          <w:rFonts w:ascii="Calibri" w:eastAsiaTheme="minorEastAsia" w:hAnsi="Calibri" w:cs="Calibri"/>
          <w:color w:val="000000" w:themeColor="text1"/>
          <w:kern w:val="24"/>
          <w:sz w:val="22"/>
          <w:szCs w:val="22"/>
        </w:rPr>
        <w:t>.</w:t>
      </w:r>
    </w:p>
    <w:p w14:paraId="7D865193" w14:textId="77777777" w:rsidR="003D5293" w:rsidRPr="003D5293" w:rsidRDefault="003D5293" w:rsidP="003D5293">
      <w:pPr>
        <w:pStyle w:val="NormalWeb"/>
        <w:spacing w:before="0" w:beforeAutospacing="0" w:after="0" w:afterAutospacing="0"/>
        <w:rPr>
          <w:rFonts w:ascii="Calibri" w:hAnsi="Calibri" w:cs="Calibri"/>
          <w:sz w:val="20"/>
          <w:szCs w:val="20"/>
        </w:rPr>
      </w:pPr>
      <w:r>
        <w:rPr>
          <w:rFonts w:ascii="Calibri" w:eastAsiaTheme="minorEastAsia" w:hAnsi="Calibri" w:cs="Calibri"/>
          <w:color w:val="000000" w:themeColor="text1"/>
          <w:kern w:val="24"/>
          <w:sz w:val="22"/>
          <w:szCs w:val="22"/>
        </w:rPr>
        <w:tab/>
      </w:r>
      <w:r w:rsidRPr="003D5293">
        <w:rPr>
          <w:rFonts w:ascii="Calibri" w:eastAsiaTheme="minorEastAsia" w:hAnsi="Calibri" w:cs="Calibri"/>
          <w:b/>
          <w:bCs/>
          <w:color w:val="000000" w:themeColor="text1"/>
          <w:kern w:val="24"/>
          <w:sz w:val="20"/>
          <w:szCs w:val="20"/>
          <w:u w:val="single"/>
        </w:rPr>
        <w:t>General Calculations</w:t>
      </w:r>
    </w:p>
    <w:p w14:paraId="24F46253" w14:textId="77777777" w:rsidR="003D5293" w:rsidRPr="003D5293" w:rsidRDefault="003D5293" w:rsidP="003D5293">
      <w:pPr>
        <w:spacing w:after="0" w:line="240" w:lineRule="auto"/>
        <w:ind w:firstLine="720"/>
        <w:rPr>
          <w:rFonts w:ascii="Calibri" w:eastAsia="Times New Roman" w:hAnsi="Calibri" w:cs="Calibri"/>
          <w:sz w:val="18"/>
          <w:szCs w:val="18"/>
        </w:rPr>
      </w:pPr>
      <w:r w:rsidRPr="003D5293">
        <w:rPr>
          <w:rFonts w:ascii="Calibri" w:eastAsiaTheme="minorEastAsia" w:hAnsi="Calibri" w:cs="Calibri"/>
          <w:color w:val="000000" w:themeColor="text1"/>
          <w:kern w:val="24"/>
          <w:sz w:val="18"/>
          <w:szCs w:val="18"/>
        </w:rPr>
        <w:t xml:space="preserve">235,745 Covid-19 Deaths x </w:t>
      </w:r>
      <w:r w:rsidRPr="003D5293">
        <w:rPr>
          <w:rFonts w:ascii="Calibri" w:eastAsiaTheme="minorEastAsia" w:hAnsi="Calibri" w:cs="Calibri"/>
          <w:b/>
          <w:bCs/>
          <w:color w:val="000000" w:themeColor="text1"/>
          <w:kern w:val="24"/>
          <w:sz w:val="18"/>
          <w:szCs w:val="18"/>
        </w:rPr>
        <w:t>0.06</w:t>
      </w:r>
      <w:r w:rsidRPr="003D5293">
        <w:rPr>
          <w:rFonts w:ascii="Calibri" w:eastAsiaTheme="minorEastAsia" w:hAnsi="Calibri" w:cs="Calibri"/>
          <w:color w:val="000000" w:themeColor="text1"/>
          <w:kern w:val="24"/>
          <w:sz w:val="18"/>
          <w:szCs w:val="18"/>
        </w:rPr>
        <w:t xml:space="preserve"> = 14,144.7 Covid-19 Only Deaths</w:t>
      </w:r>
    </w:p>
    <w:p w14:paraId="4E6CCF9C" w14:textId="77777777" w:rsidR="003D5293" w:rsidRPr="003D5293" w:rsidRDefault="003D5293" w:rsidP="003D5293">
      <w:pPr>
        <w:spacing w:after="0" w:line="240" w:lineRule="auto"/>
        <w:ind w:left="720"/>
        <w:rPr>
          <w:rFonts w:ascii="Calibri" w:eastAsia="Times New Roman" w:hAnsi="Calibri" w:cs="Calibri"/>
          <w:sz w:val="18"/>
          <w:szCs w:val="18"/>
        </w:rPr>
      </w:pPr>
      <w:r w:rsidRPr="003D5293">
        <w:rPr>
          <w:rFonts w:ascii="Calibri" w:eastAsiaTheme="minorEastAsia" w:hAnsi="Calibri" w:cs="Calibri"/>
          <w:color w:val="000000" w:themeColor="text1"/>
          <w:kern w:val="24"/>
          <w:sz w:val="18"/>
          <w:szCs w:val="18"/>
        </w:rPr>
        <w:t xml:space="preserve">235,745 Covid-19 Deaths - 14,144.7 Covid-19 Only Deaths = 221,600.3 Covid-19 Deaths </w:t>
      </w:r>
      <w:proofErr w:type="gramStart"/>
      <w:r w:rsidRPr="003D5293">
        <w:rPr>
          <w:rFonts w:ascii="Calibri" w:eastAsiaTheme="minorEastAsia" w:hAnsi="Calibri" w:cs="Calibri"/>
          <w:color w:val="000000" w:themeColor="text1"/>
          <w:kern w:val="24"/>
          <w:sz w:val="18"/>
          <w:szCs w:val="18"/>
        </w:rPr>
        <w:t>With</w:t>
      </w:r>
      <w:proofErr w:type="gramEnd"/>
      <w:r w:rsidRPr="003D5293">
        <w:rPr>
          <w:rFonts w:ascii="Calibri" w:eastAsiaTheme="minorEastAsia" w:hAnsi="Calibri" w:cs="Calibri"/>
          <w:color w:val="000000" w:themeColor="text1"/>
          <w:kern w:val="24"/>
          <w:sz w:val="18"/>
          <w:szCs w:val="18"/>
        </w:rPr>
        <w:t xml:space="preserve"> Comorbidities</w:t>
      </w:r>
    </w:p>
    <w:p w14:paraId="3F657C1F" w14:textId="77777777" w:rsidR="003D5293" w:rsidRPr="003D5293" w:rsidRDefault="003D5293" w:rsidP="003D5293">
      <w:pPr>
        <w:spacing w:after="0" w:line="240" w:lineRule="auto"/>
        <w:ind w:left="720"/>
        <w:rPr>
          <w:rFonts w:ascii="Calibri" w:eastAsia="Times New Roman" w:hAnsi="Calibri" w:cs="Calibri"/>
          <w:sz w:val="18"/>
          <w:szCs w:val="18"/>
        </w:rPr>
      </w:pPr>
      <w:r w:rsidRPr="003D5293">
        <w:rPr>
          <w:rFonts w:ascii="Calibri" w:eastAsiaTheme="minorEastAsia" w:hAnsi="Calibri" w:cs="Calibri"/>
          <w:color w:val="000000" w:themeColor="text1"/>
          <w:kern w:val="24"/>
          <w:sz w:val="18"/>
          <w:szCs w:val="18"/>
        </w:rPr>
        <w:t xml:space="preserve">221,600.3 Covid-19 Deaths </w:t>
      </w:r>
      <w:proofErr w:type="gramStart"/>
      <w:r w:rsidRPr="003D5293">
        <w:rPr>
          <w:rFonts w:ascii="Calibri" w:eastAsiaTheme="minorEastAsia" w:hAnsi="Calibri" w:cs="Calibri"/>
          <w:color w:val="000000" w:themeColor="text1"/>
          <w:kern w:val="24"/>
          <w:sz w:val="18"/>
          <w:szCs w:val="18"/>
        </w:rPr>
        <w:t>With</w:t>
      </w:r>
      <w:proofErr w:type="gramEnd"/>
      <w:r w:rsidRPr="003D5293">
        <w:rPr>
          <w:rFonts w:ascii="Calibri" w:eastAsiaTheme="minorEastAsia" w:hAnsi="Calibri" w:cs="Calibri"/>
          <w:color w:val="000000" w:themeColor="text1"/>
          <w:kern w:val="24"/>
          <w:sz w:val="18"/>
          <w:szCs w:val="18"/>
        </w:rPr>
        <w:t xml:space="preserve"> Comorbidities / </w:t>
      </w:r>
      <w:r w:rsidRPr="003D5293">
        <w:rPr>
          <w:rFonts w:ascii="Calibri" w:eastAsiaTheme="minorEastAsia" w:hAnsi="Calibri" w:cs="Calibri"/>
          <w:b/>
          <w:bCs/>
          <w:color w:val="000000" w:themeColor="text1"/>
          <w:kern w:val="24"/>
          <w:sz w:val="18"/>
          <w:szCs w:val="18"/>
        </w:rPr>
        <w:t>3.9</w:t>
      </w:r>
      <w:r w:rsidRPr="003D5293">
        <w:rPr>
          <w:rFonts w:ascii="Calibri" w:eastAsiaTheme="minorEastAsia" w:hAnsi="Calibri" w:cs="Calibri"/>
          <w:color w:val="000000" w:themeColor="text1"/>
          <w:kern w:val="24"/>
          <w:sz w:val="18"/>
          <w:szCs w:val="18"/>
        </w:rPr>
        <w:t xml:space="preserve"> Average Comorbidities Including Covid-19 = 56,820.59 </w:t>
      </w:r>
      <w:proofErr w:type="spellStart"/>
      <w:r w:rsidRPr="003D5293">
        <w:rPr>
          <w:rFonts w:ascii="Calibri" w:eastAsiaTheme="minorEastAsia" w:hAnsi="Calibri" w:cs="Calibri"/>
          <w:color w:val="000000" w:themeColor="text1"/>
          <w:kern w:val="24"/>
          <w:sz w:val="18"/>
          <w:szCs w:val="18"/>
        </w:rPr>
        <w:t>Porportioned</w:t>
      </w:r>
      <w:proofErr w:type="spellEnd"/>
      <w:r w:rsidRPr="003D5293">
        <w:rPr>
          <w:rFonts w:ascii="Calibri" w:eastAsiaTheme="minorEastAsia" w:hAnsi="Calibri" w:cs="Calibri"/>
          <w:color w:val="000000" w:themeColor="text1"/>
          <w:kern w:val="24"/>
          <w:sz w:val="18"/>
          <w:szCs w:val="18"/>
        </w:rPr>
        <w:t xml:space="preserve"> Covid-19 Deaths</w:t>
      </w:r>
    </w:p>
    <w:p w14:paraId="3357930B" w14:textId="77777777" w:rsidR="003D5293" w:rsidRPr="003D5293" w:rsidRDefault="003D5293" w:rsidP="003D5293">
      <w:pPr>
        <w:spacing w:after="0" w:line="240" w:lineRule="auto"/>
        <w:ind w:left="720"/>
        <w:rPr>
          <w:rFonts w:ascii="Calibri" w:eastAsia="Times New Roman" w:hAnsi="Calibri" w:cs="Calibri"/>
          <w:sz w:val="18"/>
          <w:szCs w:val="18"/>
        </w:rPr>
      </w:pPr>
      <w:r w:rsidRPr="003D5293">
        <w:rPr>
          <w:rFonts w:ascii="Calibri" w:eastAsiaTheme="minorEastAsia" w:hAnsi="Calibri" w:cs="Calibri"/>
          <w:color w:val="000000" w:themeColor="text1"/>
          <w:kern w:val="24"/>
          <w:sz w:val="18"/>
          <w:szCs w:val="18"/>
        </w:rPr>
        <w:t xml:space="preserve">56,820.59 </w:t>
      </w:r>
      <w:proofErr w:type="spellStart"/>
      <w:r w:rsidRPr="003D5293">
        <w:rPr>
          <w:rFonts w:ascii="Calibri" w:eastAsiaTheme="minorEastAsia" w:hAnsi="Calibri" w:cs="Calibri"/>
          <w:color w:val="000000" w:themeColor="text1"/>
          <w:kern w:val="24"/>
          <w:sz w:val="18"/>
          <w:szCs w:val="18"/>
        </w:rPr>
        <w:t>Porportioned</w:t>
      </w:r>
      <w:proofErr w:type="spellEnd"/>
      <w:r w:rsidRPr="003D5293">
        <w:rPr>
          <w:rFonts w:ascii="Calibri" w:eastAsiaTheme="minorEastAsia" w:hAnsi="Calibri" w:cs="Calibri"/>
          <w:color w:val="000000" w:themeColor="text1"/>
          <w:kern w:val="24"/>
          <w:sz w:val="18"/>
          <w:szCs w:val="18"/>
        </w:rPr>
        <w:t xml:space="preserve"> Covid-19 Deaths + 14,144.7 Covid-19 Only Deaths = </w:t>
      </w:r>
      <w:r w:rsidRPr="003D5293">
        <w:rPr>
          <w:rFonts w:ascii="Calibri" w:eastAsiaTheme="minorEastAsia" w:hAnsi="Calibri" w:cs="Calibri"/>
          <w:b/>
          <w:bCs/>
          <w:color w:val="000000" w:themeColor="text1"/>
          <w:kern w:val="24"/>
          <w:sz w:val="18"/>
          <w:szCs w:val="18"/>
        </w:rPr>
        <w:t>70,965.29 Weighted Covid-19 Deaths</w:t>
      </w:r>
    </w:p>
    <w:p w14:paraId="0053340E" w14:textId="41B0E869" w:rsidR="003F2018" w:rsidRDefault="003F2018" w:rsidP="003F2018">
      <w:pPr>
        <w:pStyle w:val="NormalWeb"/>
        <w:spacing w:before="0" w:beforeAutospacing="0" w:after="0" w:afterAutospacing="0"/>
        <w:rPr>
          <w:rFonts w:ascii="Calibri" w:eastAsiaTheme="minorEastAsia" w:hAnsi="Calibri" w:cs="Calibri"/>
          <w:color w:val="000000" w:themeColor="text1"/>
          <w:kern w:val="24"/>
          <w:sz w:val="22"/>
          <w:szCs w:val="22"/>
        </w:rPr>
      </w:pPr>
    </w:p>
    <w:p w14:paraId="1A1851CB" w14:textId="5DBCE107" w:rsidR="003F2018" w:rsidRDefault="003F2018" w:rsidP="003F2018">
      <w:pPr>
        <w:pStyle w:val="NormalWeb"/>
        <w:spacing w:before="0" w:beforeAutospacing="0" w:after="0" w:afterAutospacing="0"/>
        <w:rPr>
          <w:rFonts w:ascii="Calibri" w:eastAsiaTheme="minorEastAsia" w:hAnsi="Calibri" w:cs="Calibri"/>
          <w:color w:val="000000" w:themeColor="text1"/>
          <w:kern w:val="24"/>
          <w:sz w:val="22"/>
          <w:szCs w:val="22"/>
          <w:u w:val="single"/>
        </w:rPr>
      </w:pPr>
      <w:r w:rsidRPr="003F2018">
        <w:rPr>
          <w:rFonts w:ascii="Calibri" w:eastAsiaTheme="minorEastAsia" w:hAnsi="Calibri" w:cs="Calibri"/>
          <w:color w:val="000000" w:themeColor="text1"/>
          <w:kern w:val="24"/>
          <w:sz w:val="22"/>
          <w:szCs w:val="22"/>
          <w:u w:val="single"/>
        </w:rPr>
        <w:t>A Final Question</w:t>
      </w:r>
    </w:p>
    <w:p w14:paraId="3211B55E" w14:textId="334CA9BE" w:rsidR="003F2018" w:rsidRDefault="003F2018" w:rsidP="003F2018">
      <w:pPr>
        <w:pStyle w:val="NormalWeb"/>
        <w:spacing w:before="0" w:beforeAutospacing="0" w:after="0" w:afterAutospacing="0"/>
        <w:rPr>
          <w:rFonts w:ascii="Calibri" w:eastAsiaTheme="minorEastAsia" w:hAnsi="Calibri" w:cs="Calibri"/>
          <w:color w:val="000000" w:themeColor="text1"/>
          <w:kern w:val="24"/>
          <w:sz w:val="22"/>
          <w:szCs w:val="22"/>
        </w:rPr>
      </w:pPr>
      <w:r w:rsidRPr="003D5293">
        <w:rPr>
          <w:rFonts w:ascii="Calibri" w:eastAsiaTheme="minorEastAsia" w:hAnsi="Calibri" w:cs="Calibri"/>
          <w:b/>
          <w:bCs/>
          <w:color w:val="000000" w:themeColor="text1"/>
          <w:kern w:val="24"/>
          <w:sz w:val="22"/>
          <w:szCs w:val="22"/>
        </w:rPr>
        <w:t>Step 12</w:t>
      </w:r>
      <w:r>
        <w:rPr>
          <w:rFonts w:ascii="Calibri" w:eastAsiaTheme="minorEastAsia" w:hAnsi="Calibri" w:cs="Calibri"/>
          <w:color w:val="000000" w:themeColor="text1"/>
          <w:kern w:val="24"/>
          <w:sz w:val="22"/>
          <w:szCs w:val="22"/>
        </w:rPr>
        <w:t>: Pose a final question concerning the results, calculations, and information reviewed</w:t>
      </w:r>
      <w:r w:rsidR="000F458C">
        <w:rPr>
          <w:rFonts w:ascii="Calibri" w:eastAsiaTheme="minorEastAsia" w:hAnsi="Calibri" w:cs="Calibri"/>
          <w:color w:val="000000" w:themeColor="text1"/>
          <w:kern w:val="24"/>
          <w:sz w:val="22"/>
          <w:szCs w:val="22"/>
        </w:rPr>
        <w:t>.</w:t>
      </w:r>
    </w:p>
    <w:p w14:paraId="1F18BF5C" w14:textId="1371DE07" w:rsidR="003D5293" w:rsidRDefault="003D5293" w:rsidP="003F2018">
      <w:pPr>
        <w:pStyle w:val="NormalWeb"/>
        <w:spacing w:before="0" w:beforeAutospacing="0" w:after="0" w:afterAutospacing="0"/>
        <w:rPr>
          <w:rFonts w:ascii="Calibri" w:eastAsiaTheme="minorEastAsia" w:hAnsi="Calibri" w:cs="Calibri"/>
          <w:color w:val="000000" w:themeColor="text1"/>
          <w:kern w:val="24"/>
          <w:sz w:val="22"/>
          <w:szCs w:val="22"/>
        </w:rPr>
      </w:pPr>
    </w:p>
    <w:p w14:paraId="1F95A4C7" w14:textId="77777777" w:rsidR="003D5293" w:rsidRPr="003D5293" w:rsidRDefault="003D5293" w:rsidP="003D5293">
      <w:pPr>
        <w:pStyle w:val="NormalWeb"/>
        <w:spacing w:before="0" w:beforeAutospacing="0" w:after="0" w:afterAutospacing="0"/>
        <w:rPr>
          <w:rFonts w:ascii="Calibri" w:hAnsi="Calibri" w:cs="Calibri"/>
        </w:rPr>
      </w:pPr>
      <w:r>
        <w:rPr>
          <w:rFonts w:ascii="Calibri" w:eastAsiaTheme="minorEastAsia" w:hAnsi="Calibri" w:cs="Calibri"/>
          <w:color w:val="000000" w:themeColor="text1"/>
          <w:kern w:val="24"/>
          <w:sz w:val="22"/>
          <w:szCs w:val="22"/>
        </w:rPr>
        <w:tab/>
      </w:r>
      <w:r w:rsidRPr="003D5293">
        <w:rPr>
          <w:rFonts w:ascii="Calibri" w:eastAsiaTheme="minorEastAsia" w:hAnsi="Calibri" w:cs="Calibri"/>
          <w:b/>
          <w:bCs/>
          <w:i/>
          <w:iCs/>
          <w:color w:val="000000" w:themeColor="text1"/>
          <w:kern w:val="24"/>
          <w:sz w:val="21"/>
          <w:szCs w:val="21"/>
        </w:rPr>
        <w:t>Does a 54% proportion of non-pneumonia deaths associated with Covid-19 make sense to you?</w:t>
      </w:r>
    </w:p>
    <w:p w14:paraId="125F6F76" w14:textId="4ADF1E1D" w:rsidR="003D5293" w:rsidRPr="003F2018" w:rsidRDefault="003D5293" w:rsidP="003F2018">
      <w:pPr>
        <w:pStyle w:val="NormalWeb"/>
        <w:spacing w:before="0" w:beforeAutospacing="0" w:after="0" w:afterAutospacing="0"/>
      </w:pPr>
    </w:p>
    <w:p w14:paraId="6424D27F" w14:textId="0E39604A" w:rsidR="003F2018" w:rsidRDefault="003F2018" w:rsidP="00222219">
      <w:pPr>
        <w:pStyle w:val="NoSpacing"/>
      </w:pPr>
    </w:p>
    <w:p w14:paraId="2A61EAA8" w14:textId="77777777" w:rsidR="00222219" w:rsidRDefault="00222219" w:rsidP="00222219">
      <w:pPr>
        <w:pStyle w:val="NoSpacing"/>
      </w:pPr>
    </w:p>
    <w:p w14:paraId="6A43A3F4" w14:textId="77777777" w:rsidR="007B7149" w:rsidRDefault="007B7149" w:rsidP="005B549D">
      <w:pPr>
        <w:pStyle w:val="NoSpacing"/>
      </w:pPr>
    </w:p>
    <w:sectPr w:rsidR="007B714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681D7" w14:textId="77777777" w:rsidR="00AD2D0B" w:rsidRDefault="00AD2D0B" w:rsidP="00714CA7">
      <w:pPr>
        <w:spacing w:after="0" w:line="240" w:lineRule="auto"/>
      </w:pPr>
      <w:r>
        <w:separator/>
      </w:r>
    </w:p>
  </w:endnote>
  <w:endnote w:type="continuationSeparator" w:id="0">
    <w:p w14:paraId="59273BC0" w14:textId="77777777" w:rsidR="00AD2D0B" w:rsidRDefault="00AD2D0B" w:rsidP="0071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B896B" w14:textId="77777777" w:rsidR="00714CA7" w:rsidRDefault="00714CA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8924888" w14:textId="77777777" w:rsidR="00714CA7" w:rsidRDefault="00714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49168" w14:textId="77777777" w:rsidR="00AD2D0B" w:rsidRDefault="00AD2D0B" w:rsidP="00714CA7">
      <w:pPr>
        <w:spacing w:after="0" w:line="240" w:lineRule="auto"/>
      </w:pPr>
      <w:r>
        <w:separator/>
      </w:r>
    </w:p>
  </w:footnote>
  <w:footnote w:type="continuationSeparator" w:id="0">
    <w:p w14:paraId="2151109A" w14:textId="77777777" w:rsidR="00AD2D0B" w:rsidRDefault="00AD2D0B" w:rsidP="00714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E1620" w14:textId="5D52676C" w:rsidR="00714CA7" w:rsidRPr="00714CA7" w:rsidRDefault="00714CA7">
    <w:pPr>
      <w:pStyle w:val="Header"/>
      <w:rPr>
        <w:sz w:val="18"/>
        <w:szCs w:val="18"/>
      </w:rPr>
    </w:pPr>
    <w:r w:rsidRPr="00714CA7">
      <w:rPr>
        <w:sz w:val="18"/>
        <w:szCs w:val="18"/>
      </w:rPr>
      <w:t>COVID-19 Analysis</w:t>
    </w:r>
    <w:r w:rsidRPr="00714CA7">
      <w:rPr>
        <w:sz w:val="18"/>
        <w:szCs w:val="18"/>
      </w:rPr>
      <w:ptab w:relativeTo="margin" w:alignment="center" w:leader="none"/>
    </w:r>
    <w:r w:rsidRPr="00714CA7">
      <w:rPr>
        <w:sz w:val="18"/>
        <w:szCs w:val="18"/>
      </w:rPr>
      <w:t xml:space="preserve">Butler Data Science </w:t>
    </w:r>
    <w:r w:rsidRPr="00714CA7">
      <w:rPr>
        <w:sz w:val="18"/>
        <w:szCs w:val="18"/>
      </w:rPr>
      <w:ptab w:relativeTo="margin" w:alignment="right" w:leader="none"/>
    </w:r>
    <w:r w:rsidRPr="00714CA7">
      <w:rPr>
        <w:sz w:val="18"/>
        <w:szCs w:val="18"/>
      </w:rPr>
      <w:t>Prepared by:</w:t>
    </w:r>
  </w:p>
  <w:p w14:paraId="3D5676FF" w14:textId="0DF39C35" w:rsidR="00714CA7" w:rsidRPr="00714CA7" w:rsidRDefault="00714CA7">
    <w:pPr>
      <w:pStyle w:val="Header"/>
      <w:rPr>
        <w:sz w:val="16"/>
        <w:szCs w:val="16"/>
      </w:rPr>
    </w:pPr>
    <w:r w:rsidRPr="00714CA7">
      <w:rPr>
        <w:sz w:val="18"/>
        <w:szCs w:val="18"/>
      </w:rPr>
      <w:tab/>
    </w:r>
    <w:r w:rsidRPr="00714CA7">
      <w:rPr>
        <w:sz w:val="18"/>
        <w:szCs w:val="18"/>
      </w:rPr>
      <w:tab/>
    </w:r>
    <w:r w:rsidRPr="00714CA7">
      <w:rPr>
        <w:sz w:val="16"/>
        <w:szCs w:val="16"/>
      </w:rPr>
      <w:t>Carmi Smith</w:t>
    </w:r>
  </w:p>
  <w:p w14:paraId="55BC5E84" w14:textId="51A136D4" w:rsidR="00714CA7" w:rsidRPr="00714CA7" w:rsidRDefault="00714CA7">
    <w:pPr>
      <w:pStyle w:val="Header"/>
      <w:rPr>
        <w:sz w:val="16"/>
        <w:szCs w:val="16"/>
      </w:rPr>
    </w:pPr>
    <w:r w:rsidRPr="00714CA7">
      <w:rPr>
        <w:sz w:val="16"/>
        <w:szCs w:val="16"/>
      </w:rPr>
      <w:tab/>
    </w:r>
    <w:r w:rsidRPr="00714CA7">
      <w:rPr>
        <w:sz w:val="16"/>
        <w:szCs w:val="16"/>
      </w:rPr>
      <w:tab/>
      <w:t>Mandy Farrell</w:t>
    </w:r>
  </w:p>
  <w:p w14:paraId="30C140FA" w14:textId="6C928B1B" w:rsidR="00714CA7" w:rsidRPr="00714CA7" w:rsidRDefault="00714CA7">
    <w:pPr>
      <w:pStyle w:val="Header"/>
      <w:rPr>
        <w:sz w:val="16"/>
        <w:szCs w:val="16"/>
      </w:rPr>
    </w:pPr>
    <w:r w:rsidRPr="00714CA7">
      <w:rPr>
        <w:sz w:val="16"/>
        <w:szCs w:val="16"/>
      </w:rPr>
      <w:tab/>
    </w:r>
    <w:r w:rsidRPr="00714CA7">
      <w:rPr>
        <w:sz w:val="16"/>
        <w:szCs w:val="16"/>
      </w:rPr>
      <w:tab/>
      <w:t>Randall Crawford</w:t>
    </w:r>
  </w:p>
  <w:p w14:paraId="4CEF7608" w14:textId="49C7F8B9" w:rsidR="00714CA7" w:rsidRPr="00714CA7" w:rsidRDefault="00714CA7">
    <w:pPr>
      <w:pStyle w:val="Header"/>
      <w:rPr>
        <w:sz w:val="16"/>
        <w:szCs w:val="16"/>
      </w:rPr>
    </w:pPr>
    <w:r w:rsidRPr="00714CA7">
      <w:rPr>
        <w:sz w:val="16"/>
        <w:szCs w:val="16"/>
      </w:rPr>
      <w:tab/>
    </w:r>
    <w:r w:rsidRPr="00714CA7">
      <w:rPr>
        <w:sz w:val="16"/>
        <w:szCs w:val="16"/>
      </w:rPr>
      <w:tab/>
      <w:t>Chad Milburn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E2083"/>
    <w:multiLevelType w:val="hybridMultilevel"/>
    <w:tmpl w:val="EE442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E4919"/>
    <w:multiLevelType w:val="hybridMultilevel"/>
    <w:tmpl w:val="EE442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9D"/>
    <w:rsid w:val="000F458C"/>
    <w:rsid w:val="00121783"/>
    <w:rsid w:val="0019393F"/>
    <w:rsid w:val="001C5B23"/>
    <w:rsid w:val="00222219"/>
    <w:rsid w:val="00231142"/>
    <w:rsid w:val="002C37EF"/>
    <w:rsid w:val="0035381E"/>
    <w:rsid w:val="00380EC8"/>
    <w:rsid w:val="003D384C"/>
    <w:rsid w:val="003D5293"/>
    <w:rsid w:val="003F2018"/>
    <w:rsid w:val="00413748"/>
    <w:rsid w:val="005B549D"/>
    <w:rsid w:val="00714CA7"/>
    <w:rsid w:val="00720768"/>
    <w:rsid w:val="00735B45"/>
    <w:rsid w:val="00746CA2"/>
    <w:rsid w:val="007B7149"/>
    <w:rsid w:val="00850303"/>
    <w:rsid w:val="008864EA"/>
    <w:rsid w:val="00892975"/>
    <w:rsid w:val="008A36BE"/>
    <w:rsid w:val="00974322"/>
    <w:rsid w:val="009F7020"/>
    <w:rsid w:val="00A174F4"/>
    <w:rsid w:val="00A76105"/>
    <w:rsid w:val="00AD2D0B"/>
    <w:rsid w:val="00AE2C36"/>
    <w:rsid w:val="00B16A85"/>
    <w:rsid w:val="00BC6F61"/>
    <w:rsid w:val="00C900D6"/>
    <w:rsid w:val="00DC2032"/>
    <w:rsid w:val="00E06060"/>
    <w:rsid w:val="00E44317"/>
    <w:rsid w:val="00F7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7EB3"/>
  <w15:chartTrackingRefBased/>
  <w15:docId w15:val="{012B04D8-6CA4-40FA-9DD5-6A91E622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549D"/>
    <w:pPr>
      <w:spacing w:after="0" w:line="240" w:lineRule="auto"/>
    </w:pPr>
  </w:style>
  <w:style w:type="paragraph" w:styleId="Header">
    <w:name w:val="header"/>
    <w:basedOn w:val="Normal"/>
    <w:link w:val="HeaderChar"/>
    <w:uiPriority w:val="99"/>
    <w:unhideWhenUsed/>
    <w:rsid w:val="0071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CA7"/>
  </w:style>
  <w:style w:type="paragraph" w:styleId="Footer">
    <w:name w:val="footer"/>
    <w:basedOn w:val="Normal"/>
    <w:link w:val="FooterChar"/>
    <w:uiPriority w:val="99"/>
    <w:unhideWhenUsed/>
    <w:rsid w:val="0071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CA7"/>
  </w:style>
  <w:style w:type="paragraph" w:styleId="NormalWeb">
    <w:name w:val="Normal (Web)"/>
    <w:basedOn w:val="Normal"/>
    <w:uiPriority w:val="99"/>
    <w:unhideWhenUsed/>
    <w:rsid w:val="003F20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6CA2"/>
    <w:rPr>
      <w:color w:val="0000FF"/>
      <w:u w:val="single"/>
    </w:rPr>
  </w:style>
  <w:style w:type="character" w:styleId="UnresolvedMention">
    <w:name w:val="Unresolved Mention"/>
    <w:basedOn w:val="DefaultParagraphFont"/>
    <w:uiPriority w:val="99"/>
    <w:semiHidden/>
    <w:unhideWhenUsed/>
    <w:rsid w:val="00746C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87368">
      <w:bodyDiv w:val="1"/>
      <w:marLeft w:val="0"/>
      <w:marRight w:val="0"/>
      <w:marTop w:val="0"/>
      <w:marBottom w:val="0"/>
      <w:divBdr>
        <w:top w:val="none" w:sz="0" w:space="0" w:color="auto"/>
        <w:left w:val="none" w:sz="0" w:space="0" w:color="auto"/>
        <w:bottom w:val="none" w:sz="0" w:space="0" w:color="auto"/>
        <w:right w:val="none" w:sz="0" w:space="0" w:color="auto"/>
      </w:divBdr>
    </w:div>
    <w:div w:id="188644042">
      <w:bodyDiv w:val="1"/>
      <w:marLeft w:val="0"/>
      <w:marRight w:val="0"/>
      <w:marTop w:val="0"/>
      <w:marBottom w:val="0"/>
      <w:divBdr>
        <w:top w:val="none" w:sz="0" w:space="0" w:color="auto"/>
        <w:left w:val="none" w:sz="0" w:space="0" w:color="auto"/>
        <w:bottom w:val="none" w:sz="0" w:space="0" w:color="auto"/>
        <w:right w:val="none" w:sz="0" w:space="0" w:color="auto"/>
      </w:divBdr>
    </w:div>
    <w:div w:id="688995228">
      <w:bodyDiv w:val="1"/>
      <w:marLeft w:val="0"/>
      <w:marRight w:val="0"/>
      <w:marTop w:val="0"/>
      <w:marBottom w:val="0"/>
      <w:divBdr>
        <w:top w:val="none" w:sz="0" w:space="0" w:color="auto"/>
        <w:left w:val="none" w:sz="0" w:space="0" w:color="auto"/>
        <w:bottom w:val="none" w:sz="0" w:space="0" w:color="auto"/>
        <w:right w:val="none" w:sz="0" w:space="0" w:color="auto"/>
      </w:divBdr>
    </w:div>
    <w:div w:id="992172712">
      <w:bodyDiv w:val="1"/>
      <w:marLeft w:val="0"/>
      <w:marRight w:val="0"/>
      <w:marTop w:val="0"/>
      <w:marBottom w:val="0"/>
      <w:divBdr>
        <w:top w:val="none" w:sz="0" w:space="0" w:color="auto"/>
        <w:left w:val="none" w:sz="0" w:space="0" w:color="auto"/>
        <w:bottom w:val="none" w:sz="0" w:space="0" w:color="auto"/>
        <w:right w:val="none" w:sz="0" w:space="0" w:color="auto"/>
      </w:divBdr>
    </w:div>
    <w:div w:id="1198589225">
      <w:bodyDiv w:val="1"/>
      <w:marLeft w:val="0"/>
      <w:marRight w:val="0"/>
      <w:marTop w:val="0"/>
      <w:marBottom w:val="0"/>
      <w:divBdr>
        <w:top w:val="none" w:sz="0" w:space="0" w:color="auto"/>
        <w:left w:val="none" w:sz="0" w:space="0" w:color="auto"/>
        <w:bottom w:val="none" w:sz="0" w:space="0" w:color="auto"/>
        <w:right w:val="none" w:sz="0" w:space="0" w:color="auto"/>
      </w:divBdr>
    </w:div>
    <w:div w:id="1366249967">
      <w:bodyDiv w:val="1"/>
      <w:marLeft w:val="0"/>
      <w:marRight w:val="0"/>
      <w:marTop w:val="0"/>
      <w:marBottom w:val="0"/>
      <w:divBdr>
        <w:top w:val="none" w:sz="0" w:space="0" w:color="auto"/>
        <w:left w:val="none" w:sz="0" w:space="0" w:color="auto"/>
        <w:bottom w:val="none" w:sz="0" w:space="0" w:color="auto"/>
        <w:right w:val="none" w:sz="0" w:space="0" w:color="auto"/>
      </w:divBdr>
    </w:div>
    <w:div w:id="1480733450">
      <w:bodyDiv w:val="1"/>
      <w:marLeft w:val="0"/>
      <w:marRight w:val="0"/>
      <w:marTop w:val="0"/>
      <w:marBottom w:val="0"/>
      <w:divBdr>
        <w:top w:val="none" w:sz="0" w:space="0" w:color="auto"/>
        <w:left w:val="none" w:sz="0" w:space="0" w:color="auto"/>
        <w:bottom w:val="none" w:sz="0" w:space="0" w:color="auto"/>
        <w:right w:val="none" w:sz="0" w:space="0" w:color="auto"/>
      </w:divBdr>
    </w:div>
    <w:div w:id="1665623036">
      <w:bodyDiv w:val="1"/>
      <w:marLeft w:val="0"/>
      <w:marRight w:val="0"/>
      <w:marTop w:val="0"/>
      <w:marBottom w:val="0"/>
      <w:divBdr>
        <w:top w:val="none" w:sz="0" w:space="0" w:color="auto"/>
        <w:left w:val="none" w:sz="0" w:space="0" w:color="auto"/>
        <w:bottom w:val="none" w:sz="0" w:space="0" w:color="auto"/>
        <w:right w:val="none" w:sz="0" w:space="0" w:color="auto"/>
      </w:divBdr>
    </w:div>
    <w:div w:id="1750226807">
      <w:bodyDiv w:val="1"/>
      <w:marLeft w:val="0"/>
      <w:marRight w:val="0"/>
      <w:marTop w:val="0"/>
      <w:marBottom w:val="0"/>
      <w:divBdr>
        <w:top w:val="none" w:sz="0" w:space="0" w:color="auto"/>
        <w:left w:val="none" w:sz="0" w:space="0" w:color="auto"/>
        <w:bottom w:val="none" w:sz="0" w:space="0" w:color="auto"/>
        <w:right w:val="none" w:sz="0" w:space="0" w:color="auto"/>
      </w:divBdr>
    </w:div>
    <w:div w:id="1800994851">
      <w:bodyDiv w:val="1"/>
      <w:marLeft w:val="0"/>
      <w:marRight w:val="0"/>
      <w:marTop w:val="0"/>
      <w:marBottom w:val="0"/>
      <w:divBdr>
        <w:top w:val="none" w:sz="0" w:space="0" w:color="auto"/>
        <w:left w:val="none" w:sz="0" w:space="0" w:color="auto"/>
        <w:bottom w:val="none" w:sz="0" w:space="0" w:color="auto"/>
        <w:right w:val="none" w:sz="0" w:space="0" w:color="auto"/>
      </w:divBdr>
    </w:div>
    <w:div w:id="2004777064">
      <w:bodyDiv w:val="1"/>
      <w:marLeft w:val="0"/>
      <w:marRight w:val="0"/>
      <w:marTop w:val="0"/>
      <w:marBottom w:val="0"/>
      <w:divBdr>
        <w:top w:val="none" w:sz="0" w:space="0" w:color="auto"/>
        <w:left w:val="none" w:sz="0" w:space="0" w:color="auto"/>
        <w:bottom w:val="none" w:sz="0" w:space="0" w:color="auto"/>
        <w:right w:val="none" w:sz="0" w:space="0" w:color="auto"/>
      </w:divBdr>
    </w:div>
    <w:div w:id="20434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Milburn</dc:creator>
  <cp:keywords/>
  <dc:description/>
  <cp:lastModifiedBy>Randall Crawford</cp:lastModifiedBy>
  <cp:revision>2</cp:revision>
  <dcterms:created xsi:type="dcterms:W3CDTF">2021-02-05T01:38:00Z</dcterms:created>
  <dcterms:modified xsi:type="dcterms:W3CDTF">2021-02-05T01:38:00Z</dcterms:modified>
</cp:coreProperties>
</file>