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7"/>
        <w:gridCol w:w="1597"/>
        <w:gridCol w:w="1975"/>
        <w:gridCol w:w="2123"/>
        <w:gridCol w:w="2942"/>
      </w:tblGrid>
      <w:tr>
        <w:trPr>
          <w:cantSplit/>
          <w:trHeight w:val="455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Supplementary Table 1: Mapping Statistics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Trimmed Reads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Uniquely Mapped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Percent Uniquely Mapped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24535591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24516812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20190451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82.4%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20833408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20821507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16800807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80.7%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15736362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15700360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12410505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79.0%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9968261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9954978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8107108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81.4%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16648670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16624223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14775990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88.9%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17083824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17002521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14426962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84.9%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22918390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22886968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19362988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84.6%</w:t>
            </w:r>
          </w:p>
        </w:tc>
      </w:tr>
      <w:tr>
        <w:trPr>
          <w:cantSplit/>
          <w:trHeight w:val="4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TO10003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25192908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25120337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19637321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78.2%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2020-12-01T22:09:08Z</dcterms:modified>
  <cp:category/>
</cp:coreProperties>
</file>