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D35E" w14:textId="77777777" w:rsidR="00450CC3" w:rsidRDefault="00000000">
      <w:pPr>
        <w:pStyle w:val="Heading1"/>
      </w:pPr>
      <w:r>
        <w:t>Regulatory Parity and Enforcement Overhaul: Commercial and Postal Shipments Entering the United States</w:t>
      </w:r>
    </w:p>
    <w:p w14:paraId="176D8D79" w14:textId="77777777" w:rsidR="00450CC3" w:rsidRDefault="00000000">
      <w:pPr>
        <w:pStyle w:val="Heading2"/>
        <w:spacing w:before="0"/>
      </w:pPr>
      <w:r>
        <w:t>Historical Evolution and Regulatory Context of De Minimis Suppression</w:t>
      </w:r>
    </w:p>
    <w:p w14:paraId="60D92A01" w14:textId="77777777" w:rsidR="00450CC3" w:rsidRDefault="00000000">
      <w:pPr>
        <w:pBdr>
          <w:top w:val="nil"/>
          <w:left w:val="nil"/>
          <w:bottom w:val="nil"/>
          <w:right w:val="nil"/>
          <w:between w:val="nil"/>
        </w:pBdr>
      </w:pPr>
      <w:r>
        <w:t>The structural environment of United States import customs is undergoing a profound transformation, characterized by the systematic dismantling of the administrative de minimis exemption under Section 321 of the Tariff Act of 1930. Historically, Section 321 authorized U.S. Customs and Border Protection (CBP) to admit low-value shipments free of duties and taxes, a measure designed to minimize administrative collection costs where they exceeded potential revenue. In 2016, the statutory de minimis threshold was raised from $200 to $800, which inadvertently established the framework for a massive expansion of international direct-to-consumer (DTC) e-commerce. Driven by foreign online marketplaces, low-value import volumes entering the United States exploded from 153 million parcels in fiscal year 2015 to an unprecedented 1.36 billion shipments in fiscal year 2024. This volume strained CBP’s screening and enforcement capacities. Federal agencies increasingly identified these high-volume, low-visibility channels as pathways for counterfeit goods, forced labor products, duty evasion, and illicit synthetic drugs such as fentanyl.</w:t>
      </w:r>
    </w:p>
    <w:p w14:paraId="062D5A68" w14:textId="77777777" w:rsidR="00450CC3" w:rsidRDefault="00000000">
      <w:pPr>
        <w:pBdr>
          <w:top w:val="nil"/>
          <w:left w:val="nil"/>
          <w:bottom w:val="nil"/>
          <w:right w:val="nil"/>
          <w:between w:val="nil"/>
        </w:pBdr>
      </w:pPr>
      <w:r>
        <w:br w:type="page"/>
      </w:r>
    </w:p>
    <w:p w14:paraId="14F20CCB" w14:textId="77777777" w:rsidR="00450CC3" w:rsidRDefault="00450CC3">
      <w:pPr>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50CC3" w14:paraId="5E3ED9ED" w14:textId="77777777">
        <w:trPr>
          <w:tblHeader/>
        </w:trPr>
        <w:tc>
          <w:tcPr>
            <w:tcW w:w="3120" w:type="dxa"/>
            <w:tcMar>
              <w:top w:w="0" w:type="dxa"/>
              <w:left w:w="0" w:type="dxa"/>
              <w:bottom w:w="0" w:type="dxa"/>
              <w:right w:w="0" w:type="dxa"/>
            </w:tcMar>
          </w:tcPr>
          <w:p w14:paraId="24E18663" w14:textId="77777777" w:rsidR="00450CC3" w:rsidRDefault="00000000">
            <w:pPr>
              <w:pBdr>
                <w:top w:val="nil"/>
                <w:left w:val="nil"/>
                <w:bottom w:val="nil"/>
                <w:right w:val="nil"/>
                <w:between w:val="nil"/>
              </w:pBdr>
            </w:pPr>
            <w:r>
              <w:t>Date</w:t>
            </w:r>
          </w:p>
        </w:tc>
        <w:tc>
          <w:tcPr>
            <w:tcW w:w="3120" w:type="dxa"/>
            <w:tcMar>
              <w:top w:w="0" w:type="dxa"/>
              <w:left w:w="0" w:type="dxa"/>
              <w:bottom w:w="0" w:type="dxa"/>
              <w:right w:w="0" w:type="dxa"/>
            </w:tcMar>
          </w:tcPr>
          <w:p w14:paraId="7AED581B" w14:textId="77777777" w:rsidR="00450CC3" w:rsidRDefault="00000000">
            <w:pPr>
              <w:pBdr>
                <w:top w:val="nil"/>
                <w:left w:val="nil"/>
                <w:bottom w:val="nil"/>
                <w:right w:val="nil"/>
                <w:between w:val="nil"/>
              </w:pBdr>
            </w:pPr>
            <w:r>
              <w:t>Regulatory Action</w:t>
            </w:r>
          </w:p>
        </w:tc>
        <w:tc>
          <w:tcPr>
            <w:tcW w:w="3120" w:type="dxa"/>
            <w:tcMar>
              <w:top w:w="0" w:type="dxa"/>
              <w:left w:w="0" w:type="dxa"/>
              <w:bottom w:w="0" w:type="dxa"/>
              <w:right w:w="0" w:type="dxa"/>
            </w:tcMar>
          </w:tcPr>
          <w:p w14:paraId="7E5A0355" w14:textId="77777777" w:rsidR="00450CC3" w:rsidRDefault="00000000">
            <w:pPr>
              <w:pBdr>
                <w:top w:val="nil"/>
                <w:left w:val="nil"/>
                <w:bottom w:val="nil"/>
                <w:right w:val="nil"/>
                <w:between w:val="nil"/>
              </w:pBdr>
            </w:pPr>
            <w:r>
              <w:t>Key Outcomes and Statutory Impact</w:t>
            </w:r>
          </w:p>
        </w:tc>
      </w:tr>
      <w:tr w:rsidR="00450CC3" w14:paraId="6661D5E6" w14:textId="77777777">
        <w:tc>
          <w:tcPr>
            <w:tcW w:w="3120" w:type="dxa"/>
            <w:tcMar>
              <w:top w:w="0" w:type="dxa"/>
              <w:left w:w="0" w:type="dxa"/>
              <w:bottom w:w="0" w:type="dxa"/>
              <w:right w:w="0" w:type="dxa"/>
            </w:tcMar>
          </w:tcPr>
          <w:p w14:paraId="2C3B314A" w14:textId="77777777" w:rsidR="00450CC3" w:rsidRDefault="00000000">
            <w:pPr>
              <w:pBdr>
                <w:top w:val="nil"/>
                <w:left w:val="nil"/>
                <w:bottom w:val="nil"/>
                <w:right w:val="nil"/>
                <w:between w:val="nil"/>
              </w:pBdr>
              <w:rPr>
                <w:b/>
                <w:bCs/>
              </w:rPr>
            </w:pPr>
            <w:r>
              <w:rPr>
                <w:b/>
                <w:bCs/>
              </w:rPr>
              <w:t>July 4, 2025</w:t>
            </w:r>
          </w:p>
        </w:tc>
        <w:tc>
          <w:tcPr>
            <w:tcW w:w="3120" w:type="dxa"/>
            <w:tcMar>
              <w:top w:w="0" w:type="dxa"/>
              <w:left w:w="0" w:type="dxa"/>
              <w:bottom w:w="0" w:type="dxa"/>
              <w:right w:w="0" w:type="dxa"/>
            </w:tcMar>
          </w:tcPr>
          <w:p w14:paraId="75DEB5B4" w14:textId="77777777" w:rsidR="00450CC3" w:rsidRDefault="00000000">
            <w:pPr>
              <w:pBdr>
                <w:top w:val="nil"/>
                <w:left w:val="nil"/>
                <w:bottom w:val="nil"/>
                <w:right w:val="nil"/>
                <w:between w:val="nil"/>
              </w:pBdr>
            </w:pPr>
            <w:r>
              <w:t>Enactment of the One Big Beautiful Bill Act (P.L. 119-21)</w:t>
            </w:r>
          </w:p>
        </w:tc>
        <w:tc>
          <w:tcPr>
            <w:tcW w:w="3120" w:type="dxa"/>
            <w:tcMar>
              <w:top w:w="0" w:type="dxa"/>
              <w:left w:w="0" w:type="dxa"/>
              <w:bottom w:w="0" w:type="dxa"/>
              <w:right w:w="0" w:type="dxa"/>
            </w:tcMar>
          </w:tcPr>
          <w:p w14:paraId="7BEDA1B7" w14:textId="77777777" w:rsidR="00450CC3" w:rsidRDefault="00000000">
            <w:pPr>
              <w:pBdr>
                <w:top w:val="nil"/>
                <w:left w:val="nil"/>
                <w:bottom w:val="nil"/>
                <w:right w:val="nil"/>
                <w:between w:val="nil"/>
              </w:pBdr>
            </w:pPr>
            <w:r>
              <w:t>Statutorily eliminates the Section 321 de minimis exemption under Title 19 effective July 1, 2027, while preserving immediate executive authority to restrict the exemption prior to that date.</w:t>
            </w:r>
          </w:p>
        </w:tc>
      </w:tr>
      <w:tr w:rsidR="00450CC3" w14:paraId="3E17B65B" w14:textId="77777777">
        <w:tc>
          <w:tcPr>
            <w:tcW w:w="3120" w:type="dxa"/>
            <w:tcMar>
              <w:top w:w="0" w:type="dxa"/>
              <w:left w:w="0" w:type="dxa"/>
              <w:bottom w:w="0" w:type="dxa"/>
              <w:right w:w="0" w:type="dxa"/>
            </w:tcMar>
          </w:tcPr>
          <w:p w14:paraId="5257D276" w14:textId="77777777" w:rsidR="00450CC3" w:rsidRDefault="00000000">
            <w:pPr>
              <w:pBdr>
                <w:top w:val="nil"/>
                <w:left w:val="nil"/>
                <w:bottom w:val="nil"/>
                <w:right w:val="nil"/>
                <w:between w:val="nil"/>
              </w:pBdr>
              <w:rPr>
                <w:b/>
                <w:bCs/>
              </w:rPr>
            </w:pPr>
            <w:r>
              <w:rPr>
                <w:b/>
                <w:bCs/>
              </w:rPr>
              <w:t>July 30, 2025</w:t>
            </w:r>
          </w:p>
        </w:tc>
        <w:tc>
          <w:tcPr>
            <w:tcW w:w="3120" w:type="dxa"/>
            <w:tcMar>
              <w:top w:w="0" w:type="dxa"/>
              <w:left w:w="0" w:type="dxa"/>
              <w:bottom w:w="0" w:type="dxa"/>
              <w:right w:w="0" w:type="dxa"/>
            </w:tcMar>
          </w:tcPr>
          <w:p w14:paraId="0E31E704" w14:textId="77777777" w:rsidR="00450CC3" w:rsidRDefault="00000000">
            <w:pPr>
              <w:pBdr>
                <w:top w:val="nil"/>
                <w:left w:val="nil"/>
                <w:bottom w:val="nil"/>
                <w:right w:val="nil"/>
                <w:between w:val="nil"/>
              </w:pBdr>
            </w:pPr>
            <w:r>
              <w:t>Signing of Executive Order 14324</w:t>
            </w:r>
          </w:p>
        </w:tc>
        <w:tc>
          <w:tcPr>
            <w:tcW w:w="3120" w:type="dxa"/>
            <w:tcMar>
              <w:top w:w="0" w:type="dxa"/>
              <w:left w:w="0" w:type="dxa"/>
              <w:bottom w:w="0" w:type="dxa"/>
              <w:right w:w="0" w:type="dxa"/>
            </w:tcMar>
          </w:tcPr>
          <w:p w14:paraId="2B783861" w14:textId="77777777" w:rsidR="00450CC3" w:rsidRDefault="00000000">
            <w:pPr>
              <w:pBdr>
                <w:top w:val="nil"/>
                <w:left w:val="nil"/>
                <w:bottom w:val="nil"/>
                <w:right w:val="nil"/>
                <w:between w:val="nil"/>
              </w:pBdr>
            </w:pPr>
            <w:r>
              <w:t>Suspends the de minimis administrative exemption for imports from all countries effective August 29, 2025, subjecting low-value shipments to standard tariffs.</w:t>
            </w:r>
          </w:p>
        </w:tc>
      </w:tr>
      <w:tr w:rsidR="00450CC3" w14:paraId="08E415DC" w14:textId="77777777">
        <w:tc>
          <w:tcPr>
            <w:tcW w:w="3120" w:type="dxa"/>
            <w:tcMar>
              <w:top w:w="0" w:type="dxa"/>
              <w:left w:w="0" w:type="dxa"/>
              <w:bottom w:w="0" w:type="dxa"/>
              <w:right w:w="0" w:type="dxa"/>
            </w:tcMar>
          </w:tcPr>
          <w:p w14:paraId="2EBBA816" w14:textId="77777777" w:rsidR="00450CC3" w:rsidRDefault="00000000">
            <w:pPr>
              <w:pBdr>
                <w:top w:val="nil"/>
                <w:left w:val="nil"/>
                <w:bottom w:val="nil"/>
                <w:right w:val="nil"/>
                <w:between w:val="nil"/>
              </w:pBdr>
              <w:rPr>
                <w:b/>
                <w:bCs/>
              </w:rPr>
            </w:pPr>
            <w:r>
              <w:rPr>
                <w:b/>
                <w:bCs/>
              </w:rPr>
              <w:t>February 20, 2026</w:t>
            </w:r>
          </w:p>
        </w:tc>
        <w:tc>
          <w:tcPr>
            <w:tcW w:w="3120" w:type="dxa"/>
            <w:tcMar>
              <w:top w:w="0" w:type="dxa"/>
              <w:left w:w="0" w:type="dxa"/>
              <w:bottom w:w="0" w:type="dxa"/>
              <w:right w:w="0" w:type="dxa"/>
            </w:tcMar>
          </w:tcPr>
          <w:p w14:paraId="702C2476" w14:textId="77777777" w:rsidR="00450CC3" w:rsidRDefault="00000000">
            <w:pPr>
              <w:pBdr>
                <w:top w:val="nil"/>
                <w:left w:val="nil"/>
                <w:bottom w:val="nil"/>
                <w:right w:val="nil"/>
                <w:between w:val="nil"/>
              </w:pBdr>
              <w:rPr>
                <w:i/>
                <w:iCs/>
              </w:rPr>
            </w:pPr>
            <w:r>
              <w:t xml:space="preserve">U.S. Supreme Court Decision in </w:t>
            </w:r>
            <w:r>
              <w:rPr>
                <w:i/>
                <w:iCs/>
              </w:rPr>
              <w:t>Learning Resources, Inc. v. Trump</w:t>
            </w:r>
          </w:p>
        </w:tc>
        <w:tc>
          <w:tcPr>
            <w:tcW w:w="3120" w:type="dxa"/>
            <w:tcMar>
              <w:top w:w="0" w:type="dxa"/>
              <w:left w:w="0" w:type="dxa"/>
              <w:bottom w:w="0" w:type="dxa"/>
              <w:right w:w="0" w:type="dxa"/>
            </w:tcMar>
          </w:tcPr>
          <w:p w14:paraId="687FC637" w14:textId="77777777" w:rsidR="00450CC3" w:rsidRDefault="00000000">
            <w:pPr>
              <w:pBdr>
                <w:top w:val="nil"/>
                <w:left w:val="nil"/>
                <w:bottom w:val="nil"/>
                <w:right w:val="nil"/>
                <w:between w:val="nil"/>
              </w:pBdr>
            </w:pPr>
            <w:r>
              <w:t>Rules that the International Emergency Economic Powers Act (IEEPA) does not authorize the President to impose country-specific tariffs.</w:t>
            </w:r>
          </w:p>
        </w:tc>
      </w:tr>
      <w:tr w:rsidR="00450CC3" w14:paraId="7E88961B" w14:textId="77777777">
        <w:tc>
          <w:tcPr>
            <w:tcW w:w="3120" w:type="dxa"/>
            <w:tcMar>
              <w:top w:w="0" w:type="dxa"/>
              <w:left w:w="0" w:type="dxa"/>
              <w:bottom w:w="0" w:type="dxa"/>
              <w:right w:w="0" w:type="dxa"/>
            </w:tcMar>
          </w:tcPr>
          <w:p w14:paraId="31273F49" w14:textId="77777777" w:rsidR="00450CC3" w:rsidRDefault="00000000">
            <w:pPr>
              <w:pBdr>
                <w:top w:val="nil"/>
                <w:left w:val="nil"/>
                <w:bottom w:val="nil"/>
                <w:right w:val="nil"/>
                <w:between w:val="nil"/>
              </w:pBdr>
              <w:rPr>
                <w:b/>
                <w:bCs/>
              </w:rPr>
            </w:pPr>
            <w:r>
              <w:rPr>
                <w:b/>
                <w:bCs/>
              </w:rPr>
              <w:t>February 20, 2026</w:t>
            </w:r>
          </w:p>
        </w:tc>
        <w:tc>
          <w:tcPr>
            <w:tcW w:w="3120" w:type="dxa"/>
            <w:tcMar>
              <w:top w:w="0" w:type="dxa"/>
              <w:left w:w="0" w:type="dxa"/>
              <w:bottom w:w="0" w:type="dxa"/>
              <w:right w:w="0" w:type="dxa"/>
            </w:tcMar>
          </w:tcPr>
          <w:p w14:paraId="49B3AD5C" w14:textId="77777777" w:rsidR="00450CC3" w:rsidRDefault="00000000">
            <w:pPr>
              <w:pBdr>
                <w:top w:val="nil"/>
                <w:left w:val="nil"/>
                <w:bottom w:val="nil"/>
                <w:right w:val="nil"/>
                <w:between w:val="nil"/>
              </w:pBdr>
            </w:pPr>
            <w:r>
              <w:t>Signing of Executive Order 14388</w:t>
            </w:r>
          </w:p>
        </w:tc>
        <w:tc>
          <w:tcPr>
            <w:tcW w:w="3120" w:type="dxa"/>
            <w:tcMar>
              <w:top w:w="0" w:type="dxa"/>
              <w:left w:w="0" w:type="dxa"/>
              <w:bottom w:w="0" w:type="dxa"/>
              <w:right w:w="0" w:type="dxa"/>
            </w:tcMar>
          </w:tcPr>
          <w:p w14:paraId="0D0E7419" w14:textId="77777777" w:rsidR="00450CC3" w:rsidRDefault="00000000">
            <w:pPr>
              <w:pBdr>
                <w:top w:val="nil"/>
                <w:left w:val="nil"/>
                <w:bottom w:val="nil"/>
                <w:right w:val="nil"/>
                <w:between w:val="nil"/>
              </w:pBdr>
            </w:pPr>
            <w:r>
              <w:t>Reaffirms and continues the administrative suspension of the de minimis exemption in response to the IEEPA ruling.</w:t>
            </w:r>
          </w:p>
        </w:tc>
      </w:tr>
      <w:tr w:rsidR="00450CC3" w14:paraId="3C05B63B" w14:textId="77777777">
        <w:tc>
          <w:tcPr>
            <w:tcW w:w="3120" w:type="dxa"/>
            <w:tcMar>
              <w:top w:w="0" w:type="dxa"/>
              <w:left w:w="0" w:type="dxa"/>
              <w:bottom w:w="0" w:type="dxa"/>
              <w:right w:w="0" w:type="dxa"/>
            </w:tcMar>
          </w:tcPr>
          <w:p w14:paraId="58F37E65" w14:textId="77777777" w:rsidR="00450CC3" w:rsidRDefault="00000000">
            <w:pPr>
              <w:pBdr>
                <w:top w:val="nil"/>
                <w:left w:val="nil"/>
                <w:bottom w:val="nil"/>
                <w:right w:val="nil"/>
                <w:between w:val="nil"/>
              </w:pBdr>
              <w:rPr>
                <w:b/>
                <w:bCs/>
              </w:rPr>
            </w:pPr>
            <w:r>
              <w:rPr>
                <w:b/>
                <w:bCs/>
              </w:rPr>
              <w:t>February 24, 2026</w:t>
            </w:r>
          </w:p>
        </w:tc>
        <w:tc>
          <w:tcPr>
            <w:tcW w:w="3120" w:type="dxa"/>
            <w:tcMar>
              <w:top w:w="0" w:type="dxa"/>
              <w:left w:w="0" w:type="dxa"/>
              <w:bottom w:w="0" w:type="dxa"/>
              <w:right w:w="0" w:type="dxa"/>
            </w:tcMar>
          </w:tcPr>
          <w:p w14:paraId="1044DACF" w14:textId="77777777" w:rsidR="00450CC3" w:rsidRDefault="00000000">
            <w:pPr>
              <w:pBdr>
                <w:top w:val="nil"/>
                <w:left w:val="nil"/>
                <w:bottom w:val="nil"/>
                <w:right w:val="nil"/>
                <w:between w:val="nil"/>
              </w:pBdr>
            </w:pPr>
            <w:r>
              <w:t>Implementation of Section 122 Global Import Surcharges</w:t>
            </w:r>
          </w:p>
        </w:tc>
        <w:tc>
          <w:tcPr>
            <w:tcW w:w="3120" w:type="dxa"/>
            <w:tcMar>
              <w:top w:w="0" w:type="dxa"/>
              <w:left w:w="0" w:type="dxa"/>
              <w:bottom w:w="0" w:type="dxa"/>
              <w:right w:w="0" w:type="dxa"/>
            </w:tcMar>
          </w:tcPr>
          <w:p w14:paraId="3C8B032D" w14:textId="77777777" w:rsidR="00450CC3" w:rsidRDefault="00000000">
            <w:pPr>
              <w:pBdr>
                <w:top w:val="nil"/>
                <w:left w:val="nil"/>
                <w:bottom w:val="nil"/>
                <w:right w:val="nil"/>
                <w:between w:val="nil"/>
              </w:pBdr>
            </w:pPr>
            <w:r>
              <w:t>Introduces a temporary 10% to 15% global import surcharge under Section 122 of the Trade Act of 1974, with a statutory expiration capped at 150 days (July 24, 2026).</w:t>
            </w:r>
          </w:p>
        </w:tc>
      </w:tr>
      <w:tr w:rsidR="00450CC3" w14:paraId="5783B992" w14:textId="77777777">
        <w:tc>
          <w:tcPr>
            <w:tcW w:w="3120" w:type="dxa"/>
            <w:tcMar>
              <w:top w:w="0" w:type="dxa"/>
              <w:left w:w="0" w:type="dxa"/>
              <w:bottom w:w="0" w:type="dxa"/>
              <w:right w:w="0" w:type="dxa"/>
            </w:tcMar>
          </w:tcPr>
          <w:p w14:paraId="422CC9F4" w14:textId="77777777" w:rsidR="00450CC3" w:rsidRDefault="00000000">
            <w:pPr>
              <w:pBdr>
                <w:top w:val="nil"/>
                <w:left w:val="nil"/>
                <w:bottom w:val="nil"/>
                <w:right w:val="nil"/>
                <w:between w:val="nil"/>
              </w:pBdr>
              <w:rPr>
                <w:b/>
                <w:bCs/>
              </w:rPr>
            </w:pPr>
            <w:r>
              <w:rPr>
                <w:b/>
                <w:bCs/>
              </w:rPr>
              <w:t>June 3, 2026</w:t>
            </w:r>
          </w:p>
        </w:tc>
        <w:tc>
          <w:tcPr>
            <w:tcW w:w="3120" w:type="dxa"/>
            <w:tcMar>
              <w:top w:w="0" w:type="dxa"/>
              <w:left w:w="0" w:type="dxa"/>
              <w:bottom w:w="0" w:type="dxa"/>
              <w:right w:w="0" w:type="dxa"/>
            </w:tcMar>
          </w:tcPr>
          <w:p w14:paraId="4B4C6B49" w14:textId="77777777" w:rsidR="00450CC3" w:rsidRDefault="00000000">
            <w:pPr>
              <w:pBdr>
                <w:top w:val="nil"/>
                <w:left w:val="nil"/>
                <w:bottom w:val="nil"/>
                <w:right w:val="nil"/>
                <w:between w:val="nil"/>
              </w:pBdr>
            </w:pPr>
            <w:r>
              <w:t>Signing of Executive Order 14411</w:t>
            </w:r>
          </w:p>
        </w:tc>
        <w:tc>
          <w:tcPr>
            <w:tcW w:w="3120" w:type="dxa"/>
            <w:tcMar>
              <w:top w:w="0" w:type="dxa"/>
              <w:left w:w="0" w:type="dxa"/>
              <w:bottom w:w="0" w:type="dxa"/>
              <w:right w:w="0" w:type="dxa"/>
            </w:tcMar>
          </w:tcPr>
          <w:p w14:paraId="4DBC9A99" w14:textId="77777777" w:rsidR="00450CC3" w:rsidRDefault="00000000">
            <w:pPr>
              <w:pBdr>
                <w:top w:val="nil"/>
                <w:left w:val="nil"/>
                <w:bottom w:val="nil"/>
                <w:right w:val="nil"/>
                <w:between w:val="nil"/>
              </w:pBdr>
            </w:pPr>
            <w:r>
              <w:t>Mandates a comprehensive overhaul of Importer of Record (IOR) vetting, bonding minimums, and strict customs broker due diligence standards.</w:t>
            </w:r>
          </w:p>
        </w:tc>
      </w:tr>
      <w:tr w:rsidR="00450CC3" w14:paraId="233DB27B" w14:textId="77777777">
        <w:tc>
          <w:tcPr>
            <w:tcW w:w="3120" w:type="dxa"/>
            <w:tcMar>
              <w:top w:w="0" w:type="dxa"/>
              <w:left w:w="0" w:type="dxa"/>
              <w:bottom w:w="0" w:type="dxa"/>
              <w:right w:w="0" w:type="dxa"/>
            </w:tcMar>
          </w:tcPr>
          <w:p w14:paraId="7372F5A5" w14:textId="77777777" w:rsidR="00450CC3" w:rsidRDefault="00000000">
            <w:pPr>
              <w:pBdr>
                <w:top w:val="nil"/>
                <w:left w:val="nil"/>
                <w:bottom w:val="nil"/>
                <w:right w:val="nil"/>
                <w:between w:val="nil"/>
              </w:pBdr>
              <w:rPr>
                <w:b/>
                <w:bCs/>
              </w:rPr>
            </w:pPr>
            <w:r>
              <w:rPr>
                <w:b/>
                <w:bCs/>
              </w:rPr>
              <w:t>June 24, 2026</w:t>
            </w:r>
          </w:p>
        </w:tc>
        <w:tc>
          <w:tcPr>
            <w:tcW w:w="3120" w:type="dxa"/>
            <w:tcMar>
              <w:top w:w="0" w:type="dxa"/>
              <w:left w:w="0" w:type="dxa"/>
              <w:bottom w:w="0" w:type="dxa"/>
              <w:right w:w="0" w:type="dxa"/>
            </w:tcMar>
          </w:tcPr>
          <w:p w14:paraId="1C46B274" w14:textId="77777777" w:rsidR="00450CC3" w:rsidRDefault="00000000">
            <w:pPr>
              <w:pBdr>
                <w:top w:val="nil"/>
                <w:left w:val="nil"/>
                <w:bottom w:val="nil"/>
                <w:right w:val="nil"/>
                <w:between w:val="nil"/>
              </w:pBdr>
            </w:pPr>
            <w:r>
              <w:t>Concurrent Publication of Commercial and Postal Interim Final Rules</w:t>
            </w:r>
          </w:p>
        </w:tc>
        <w:tc>
          <w:tcPr>
            <w:tcW w:w="3120" w:type="dxa"/>
            <w:tcMar>
              <w:top w:w="0" w:type="dxa"/>
              <w:left w:w="0" w:type="dxa"/>
              <w:bottom w:w="0" w:type="dxa"/>
              <w:right w:w="0" w:type="dxa"/>
            </w:tcMar>
          </w:tcPr>
          <w:p w14:paraId="5F38DB30" w14:textId="77777777" w:rsidR="00450CC3" w:rsidRDefault="00000000">
            <w:pPr>
              <w:pBdr>
                <w:top w:val="nil"/>
                <w:left w:val="nil"/>
                <w:bottom w:val="nil"/>
                <w:right w:val="nil"/>
                <w:between w:val="nil"/>
              </w:pBdr>
            </w:pPr>
            <w:r>
              <w:t>Codifies the indefinite suspension of de minimis for all modes and establishes formal and informal entry structures to handle low-value imports.</w:t>
            </w:r>
          </w:p>
        </w:tc>
      </w:tr>
    </w:tbl>
    <w:p w14:paraId="10F4DDB2" w14:textId="77777777" w:rsidR="00450CC3" w:rsidRDefault="00450CC3">
      <w:pPr>
        <w:pBdr>
          <w:top w:val="nil"/>
          <w:left w:val="nil"/>
          <w:bottom w:val="nil"/>
          <w:right w:val="nil"/>
          <w:between w:val="nil"/>
        </w:pBdr>
      </w:pPr>
    </w:p>
    <w:p w14:paraId="1CE9B44E" w14:textId="77777777" w:rsidR="00450CC3" w:rsidRDefault="00000000">
      <w:pPr>
        <w:pBdr>
          <w:top w:val="nil"/>
          <w:left w:val="nil"/>
          <w:bottom w:val="nil"/>
          <w:right w:val="nil"/>
          <w:between w:val="nil"/>
        </w:pBdr>
      </w:pPr>
      <w:r>
        <w:t>The judicial invalidation of country-specific IEEPA tariffs in February 2026 created a policy gap, forcing CBP to process duty refunds through the Automated Commercial Environment (ACE) via the Consolidated Administration and Processing of Entries (CAPE) tool. To maintain revenue and regulatory control, the administration utilized Section 122 of the Trade Act of 1974 to establish a temporary global import surcharge. This surcharge acted as an interim mechanism while CBP drafted permanent, systemic regulations.</w:t>
      </w:r>
    </w:p>
    <w:p w14:paraId="4CB6E87B" w14:textId="77777777" w:rsidR="00450CC3" w:rsidRDefault="00450CC3">
      <w:pPr>
        <w:pBdr>
          <w:top w:val="nil"/>
          <w:left w:val="nil"/>
          <w:bottom w:val="nil"/>
          <w:right w:val="nil"/>
          <w:between w:val="nil"/>
        </w:pBdr>
        <w:spacing w:after="225"/>
      </w:pPr>
    </w:p>
    <w:p w14:paraId="20018FDA" w14:textId="77777777" w:rsidR="00450CC3" w:rsidRDefault="00000000">
      <w:pPr>
        <w:pBdr>
          <w:top w:val="nil"/>
          <w:left w:val="nil"/>
          <w:bottom w:val="nil"/>
          <w:right w:val="nil"/>
          <w:between w:val="nil"/>
        </w:pBdr>
        <w:spacing w:after="225"/>
      </w:pPr>
      <w:r>
        <w:lastRenderedPageBreak/>
        <w:t>This regulatory effort culminated on June 24, 2026, with the publication of two concurrent Interim Final Rules (IFRs) designed to establish a permanent duty collection and entry framework. A critical structural convergence occurs on July 24, 2026, which marks the exact date of the statutory expiration of the Section 122 surcharges and the effective date of the new postal informal entry procedures. Previously, under the emergency framework, international mail shipments only paid Section 122 surcharges, whereas commercial shipments paid Section 122 surcharges alongside standard applicable customs duties. The new rules eliminate this distinction, establishing complete fiscal parity between commercial and postal networks.</w:t>
      </w:r>
    </w:p>
    <w:p w14:paraId="76F85783" w14:textId="77777777" w:rsidR="00450CC3" w:rsidRDefault="00000000">
      <w:pPr>
        <w:pStyle w:val="Heading2"/>
        <w:spacing w:before="0"/>
      </w:pPr>
      <w:r>
        <w:t>Commercial Entry Transformations and Importer Accountabilities</w:t>
      </w:r>
    </w:p>
    <w:p w14:paraId="30423B12" w14:textId="77777777" w:rsidR="00450CC3" w:rsidRDefault="00000000">
      <w:pPr>
        <w:pBdr>
          <w:top w:val="nil"/>
          <w:left w:val="nil"/>
          <w:bottom w:val="nil"/>
          <w:right w:val="nil"/>
          <w:between w:val="nil"/>
        </w:pBdr>
      </w:pPr>
      <w:r>
        <w:t xml:space="preserve">The commercial regulatory landscape is governed by the June 24, </w:t>
      </w:r>
      <w:proofErr w:type="gramStart"/>
      <w:r>
        <w:t>2026</w:t>
      </w:r>
      <w:proofErr w:type="gramEnd"/>
      <w:r>
        <w:t xml:space="preserve"> IFR titled </w:t>
      </w:r>
      <w:r>
        <w:rPr>
          <w:i/>
          <w:iCs/>
        </w:rPr>
        <w:t>Indefinite Suspension of the De Minimis Exemption for Merchandise Arriving Through All Modes Other Than the International Postal Network</w:t>
      </w:r>
      <w:r>
        <w:t>. Effective immediately upon publication, this rule codifies the indefinite suspension of de minimis for all non-postal modes, including express consignment, air, ocean, and land freight. This structural shift terminates both the automated Entry Type 86 Test and the "release from manifest" pathway under 19 CFR 143.23(j)(3), which previously allowed low-value shipments to clear customs based on minimal cargo manifest data.</w:t>
      </w:r>
    </w:p>
    <w:p w14:paraId="77E0EC64" w14:textId="77777777" w:rsidR="00450CC3" w:rsidRDefault="00000000">
      <w:pPr>
        <w:pBdr>
          <w:top w:val="nil"/>
          <w:left w:val="nil"/>
          <w:bottom w:val="nil"/>
          <w:right w:val="nil"/>
          <w:between w:val="nil"/>
        </w:pBdr>
      </w:pPr>
      <w:r>
        <w:t>As a result, all commercial imports valued at $800 or less must enter through established formal or informal pathways. For commercial shipments valued at $2,500 or less, the primary clearance pathway is Entry Type 11 (ET11). Under ET11, the importer must file CBP Form 3461 through ACE, providing a full 10-digit HTSUS classification code, accurate transaction valuations, and the country of origin. All such entries must now be secured by basic importation and entry bonds (Continuous or Single Transaction) under 19 CFR 113.62, ending the bond-free entry of e-commerce packages.</w:t>
      </w:r>
    </w:p>
    <w:p w14:paraId="0AD9A3C7" w14:textId="77777777" w:rsidR="00450CC3" w:rsidRDefault="00450CC3">
      <w:pPr>
        <w:pBdr>
          <w:top w:val="nil"/>
          <w:left w:val="nil"/>
          <w:bottom w:val="nil"/>
          <w:right w:val="nil"/>
          <w:between w:val="nil"/>
        </w:pBdr>
      </w:pPr>
    </w:p>
    <w:p w14:paraId="5A6CCEE6" w14:textId="77777777" w:rsidR="00450CC3" w:rsidRDefault="00000000">
      <w:pPr>
        <w:pBdr>
          <w:top w:val="nil"/>
          <w:left w:val="nil"/>
          <w:bottom w:val="nil"/>
          <w:right w:val="nil"/>
          <w:between w:val="nil"/>
        </w:pBdr>
      </w:pPr>
      <w:r>
        <w:t>While the non-postal IFR does not introduce new data fields into the standard ET11 filing, commercial operations face a comprehensive restructuring under Executive Order 14411. This executive order aims to eliminate front companies and enforce compliance by dividing importers into two distinct legal categories:</w:t>
      </w:r>
    </w:p>
    <w:p w14:paraId="1B4A43F2" w14:textId="77777777" w:rsidR="00450CC3" w:rsidRDefault="00000000">
      <w:pPr>
        <w:numPr>
          <w:ilvl w:val="0"/>
          <w:numId w:val="1"/>
        </w:numPr>
        <w:pBdr>
          <w:top w:val="nil"/>
          <w:left w:val="nil"/>
          <w:bottom w:val="nil"/>
          <w:right w:val="nil"/>
          <w:between w:val="nil"/>
        </w:pBdr>
      </w:pPr>
      <w:r>
        <w:rPr>
          <w:b/>
          <w:bCs/>
        </w:rPr>
        <w:t>U.S. Importers of Record:</w:t>
      </w:r>
      <w:r>
        <w:t xml:space="preserve"> Must be U.S. citizens, Lawful Permanent Residents (LPRs), or entities organized under U.S. law, maintaining a principal place of business, a physical presence, and tangible domestic assets in the United States.</w:t>
      </w:r>
    </w:p>
    <w:p w14:paraId="0B1D4E18" w14:textId="77777777" w:rsidR="00450CC3" w:rsidRDefault="00000000">
      <w:pPr>
        <w:numPr>
          <w:ilvl w:val="0"/>
          <w:numId w:val="1"/>
        </w:numPr>
        <w:pBdr>
          <w:top w:val="nil"/>
          <w:left w:val="nil"/>
          <w:bottom w:val="nil"/>
          <w:right w:val="nil"/>
          <w:between w:val="nil"/>
        </w:pBdr>
      </w:pPr>
      <w:r>
        <w:rPr>
          <w:b/>
          <w:bCs/>
        </w:rPr>
        <w:t>Foreign Importers of Record:</w:t>
      </w:r>
      <w:r>
        <w:t xml:space="preserve"> Defined as any importing entity that fails to satisfy the criteria of a U.S. IOR.</w:t>
      </w:r>
    </w:p>
    <w:p w14:paraId="7E49A484" w14:textId="77777777" w:rsidR="00450CC3" w:rsidRDefault="00450CC3">
      <w:pPr>
        <w:pBdr>
          <w:top w:val="nil"/>
          <w:left w:val="nil"/>
          <w:bottom w:val="nil"/>
          <w:right w:val="nil"/>
          <w:between w:val="nil"/>
        </w:pBdr>
      </w:pPr>
    </w:p>
    <w:p w14:paraId="6A3945D3" w14:textId="77777777" w:rsidR="00450CC3" w:rsidRDefault="00000000">
      <w:pPr>
        <w:pBdr>
          <w:top w:val="nil"/>
          <w:left w:val="nil"/>
          <w:bottom w:val="nil"/>
          <w:right w:val="nil"/>
          <w:between w:val="nil"/>
        </w:pBdr>
      </w:pPr>
      <w:r>
        <w:t xml:space="preserve">Under EO 14411, Foreign Importers of Record are completely barred from utilizing informal entry procedures under 19 U.S.C. 1498, preventing them from using Entry Type 11. Consequently, foreign-based e-commerce entities must process all shipments as formal entries, are prohibited from using continuous bonds without explicit CBP </w:t>
      </w:r>
      <w:proofErr w:type="gramStart"/>
      <w:r>
        <w:t>authorization, and</w:t>
      </w:r>
      <w:proofErr w:type="gramEnd"/>
      <w:r>
        <w:t xml:space="preserve"> must achieve CTPAT validation or operate through a CTPAT-validated licensed U.S. customs broker.</w:t>
      </w:r>
    </w:p>
    <w:p w14:paraId="3238A2D1" w14:textId="77777777" w:rsidR="00450CC3" w:rsidRDefault="00000000">
      <w:pPr>
        <w:pBdr>
          <w:top w:val="nil"/>
          <w:left w:val="nil"/>
          <w:bottom w:val="nil"/>
          <w:right w:val="nil"/>
          <w:between w:val="nil"/>
        </w:pBdr>
      </w:pPr>
      <w:r>
        <w:t xml:space="preserve">Furthermore, all importers must disclose highly granular corporate records, including beneficial ownership structures, business affiliations, and pre-shipment documentation submitted by the foreign exporter to their home country's customs administration. The executive order introduces a strict "good standing" standard, meaning any IOR found to have imported fentanyl, </w:t>
      </w:r>
      <w:proofErr w:type="spellStart"/>
      <w:r>
        <w:t>nitazene</w:t>
      </w:r>
      <w:proofErr w:type="spellEnd"/>
      <w:r>
        <w:t>, precursor chemicals, or contraband will lose its good standing and be barred from import activities.</w:t>
      </w:r>
    </w:p>
    <w:p w14:paraId="41CB0CBC" w14:textId="77777777" w:rsidR="00450CC3" w:rsidRDefault="00450CC3">
      <w:pPr>
        <w:pBdr>
          <w:top w:val="nil"/>
          <w:left w:val="nil"/>
          <w:bottom w:val="nil"/>
          <w:right w:val="nil"/>
          <w:between w:val="nil"/>
        </w:pBdr>
      </w:pPr>
    </w:p>
    <w:p w14:paraId="25B455D9" w14:textId="77777777" w:rsidR="00450CC3" w:rsidRDefault="00000000">
      <w:pPr>
        <w:pBdr>
          <w:top w:val="nil"/>
          <w:left w:val="nil"/>
          <w:bottom w:val="nil"/>
          <w:right w:val="nil"/>
          <w:between w:val="nil"/>
        </w:pBdr>
      </w:pPr>
      <w:r>
        <w:t xml:space="preserve">To enforce these rules, the executive order mandates a 50% minimum penalty floor on all </w:t>
      </w:r>
      <w:r>
        <w:lastRenderedPageBreak/>
        <w:t xml:space="preserve">customs violations, eliminates mitigation options for repeat offenders, and authorizes maximum penalties against customs brokers who fail to conduct proper due diligence or cooperate with CBP. The implementation timeline runs on a strict schedule from the June 3, </w:t>
      </w:r>
      <w:proofErr w:type="gramStart"/>
      <w:r>
        <w:t>2026</w:t>
      </w:r>
      <w:proofErr w:type="gramEnd"/>
      <w:r>
        <w:t xml:space="preserve"> signing date:</w:t>
      </w:r>
    </w:p>
    <w:p w14:paraId="124E3F99" w14:textId="77777777" w:rsidR="00450CC3" w:rsidRDefault="00450CC3">
      <w:pPr>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50CC3" w14:paraId="72B3A6BF" w14:textId="77777777">
        <w:trPr>
          <w:tblHeader/>
        </w:trPr>
        <w:tc>
          <w:tcPr>
            <w:tcW w:w="3120" w:type="dxa"/>
            <w:tcMar>
              <w:top w:w="0" w:type="dxa"/>
              <w:left w:w="0" w:type="dxa"/>
              <w:bottom w:w="0" w:type="dxa"/>
              <w:right w:w="0" w:type="dxa"/>
            </w:tcMar>
          </w:tcPr>
          <w:p w14:paraId="5EEA9B49" w14:textId="77777777" w:rsidR="00450CC3" w:rsidRDefault="00000000">
            <w:pPr>
              <w:pBdr>
                <w:top w:val="nil"/>
                <w:left w:val="nil"/>
                <w:bottom w:val="nil"/>
                <w:right w:val="nil"/>
                <w:between w:val="nil"/>
              </w:pBdr>
            </w:pPr>
            <w:r>
              <w:t>Compliance Deadline</w:t>
            </w:r>
          </w:p>
        </w:tc>
        <w:tc>
          <w:tcPr>
            <w:tcW w:w="3120" w:type="dxa"/>
            <w:tcMar>
              <w:top w:w="0" w:type="dxa"/>
              <w:left w:w="0" w:type="dxa"/>
              <w:bottom w:w="0" w:type="dxa"/>
              <w:right w:w="0" w:type="dxa"/>
            </w:tcMar>
          </w:tcPr>
          <w:p w14:paraId="69541D07" w14:textId="77777777" w:rsidR="00450CC3" w:rsidRDefault="00000000">
            <w:pPr>
              <w:pBdr>
                <w:top w:val="nil"/>
                <w:left w:val="nil"/>
                <w:bottom w:val="nil"/>
                <w:right w:val="nil"/>
                <w:between w:val="nil"/>
              </w:pBdr>
            </w:pPr>
            <w:r>
              <w:t>Regulatory Requirement</w:t>
            </w:r>
          </w:p>
        </w:tc>
        <w:tc>
          <w:tcPr>
            <w:tcW w:w="3120" w:type="dxa"/>
            <w:tcMar>
              <w:top w:w="0" w:type="dxa"/>
              <w:left w:w="0" w:type="dxa"/>
              <w:bottom w:w="0" w:type="dxa"/>
              <w:right w:w="0" w:type="dxa"/>
            </w:tcMar>
          </w:tcPr>
          <w:p w14:paraId="5AEA89C1" w14:textId="77777777" w:rsidR="00450CC3" w:rsidRDefault="00000000">
            <w:pPr>
              <w:pBdr>
                <w:top w:val="nil"/>
                <w:left w:val="nil"/>
                <w:bottom w:val="nil"/>
                <w:right w:val="nil"/>
                <w:between w:val="nil"/>
              </w:pBdr>
            </w:pPr>
            <w:r>
              <w:t>Target Entities and Actions</w:t>
            </w:r>
          </w:p>
        </w:tc>
      </w:tr>
      <w:tr w:rsidR="00450CC3" w14:paraId="43B2538F" w14:textId="77777777">
        <w:tc>
          <w:tcPr>
            <w:tcW w:w="3120" w:type="dxa"/>
            <w:tcMar>
              <w:top w:w="0" w:type="dxa"/>
              <w:left w:w="0" w:type="dxa"/>
              <w:bottom w:w="0" w:type="dxa"/>
              <w:right w:w="0" w:type="dxa"/>
            </w:tcMar>
          </w:tcPr>
          <w:p w14:paraId="7110F454" w14:textId="77777777" w:rsidR="00450CC3" w:rsidRDefault="00000000">
            <w:pPr>
              <w:pBdr>
                <w:top w:val="nil"/>
                <w:left w:val="nil"/>
                <w:bottom w:val="nil"/>
                <w:right w:val="nil"/>
                <w:between w:val="nil"/>
              </w:pBdr>
              <w:rPr>
                <w:b/>
                <w:bCs/>
              </w:rPr>
            </w:pPr>
            <w:r>
              <w:rPr>
                <w:b/>
                <w:bCs/>
              </w:rPr>
              <w:t>July 18, 2026 (45 Days)</w:t>
            </w:r>
          </w:p>
        </w:tc>
        <w:tc>
          <w:tcPr>
            <w:tcW w:w="3120" w:type="dxa"/>
            <w:tcMar>
              <w:top w:w="0" w:type="dxa"/>
              <w:left w:w="0" w:type="dxa"/>
              <w:bottom w:w="0" w:type="dxa"/>
              <w:right w:w="0" w:type="dxa"/>
            </w:tcMar>
          </w:tcPr>
          <w:p w14:paraId="327A3FF7" w14:textId="77777777" w:rsidR="00450CC3" w:rsidRDefault="00000000">
            <w:pPr>
              <w:pBdr>
                <w:top w:val="nil"/>
                <w:left w:val="nil"/>
                <w:bottom w:val="nil"/>
                <w:right w:val="nil"/>
                <w:between w:val="nil"/>
              </w:pBdr>
            </w:pPr>
            <w:r>
              <w:t>Submission of Legislative Recommendations</w:t>
            </w:r>
          </w:p>
        </w:tc>
        <w:tc>
          <w:tcPr>
            <w:tcW w:w="3120" w:type="dxa"/>
            <w:tcMar>
              <w:top w:w="0" w:type="dxa"/>
              <w:left w:w="0" w:type="dxa"/>
              <w:bottom w:w="0" w:type="dxa"/>
              <w:right w:w="0" w:type="dxa"/>
            </w:tcMar>
          </w:tcPr>
          <w:p w14:paraId="16F4AD8A" w14:textId="77777777" w:rsidR="00450CC3" w:rsidRDefault="00000000">
            <w:pPr>
              <w:pBdr>
                <w:top w:val="nil"/>
                <w:left w:val="nil"/>
                <w:bottom w:val="nil"/>
                <w:right w:val="nil"/>
                <w:between w:val="nil"/>
              </w:pBdr>
            </w:pPr>
            <w:r>
              <w:t>DHS and OMB submit recommendations to the President to strengthen customs enforcement.</w:t>
            </w:r>
          </w:p>
        </w:tc>
      </w:tr>
      <w:tr w:rsidR="00450CC3" w14:paraId="7B2311EE" w14:textId="77777777">
        <w:tc>
          <w:tcPr>
            <w:tcW w:w="3120" w:type="dxa"/>
            <w:tcMar>
              <w:top w:w="0" w:type="dxa"/>
              <w:left w:w="0" w:type="dxa"/>
              <w:bottom w:w="0" w:type="dxa"/>
              <w:right w:w="0" w:type="dxa"/>
            </w:tcMar>
          </w:tcPr>
          <w:p w14:paraId="2B3C7948" w14:textId="77777777" w:rsidR="00450CC3" w:rsidRDefault="00000000">
            <w:pPr>
              <w:pBdr>
                <w:top w:val="nil"/>
                <w:left w:val="nil"/>
                <w:bottom w:val="nil"/>
                <w:right w:val="nil"/>
                <w:between w:val="nil"/>
              </w:pBdr>
              <w:rPr>
                <w:b/>
                <w:bCs/>
              </w:rPr>
            </w:pPr>
            <w:r>
              <w:rPr>
                <w:b/>
                <w:bCs/>
              </w:rPr>
              <w:t>September 1, 2026 (90 Days)</w:t>
            </w:r>
          </w:p>
        </w:tc>
        <w:tc>
          <w:tcPr>
            <w:tcW w:w="3120" w:type="dxa"/>
            <w:tcMar>
              <w:top w:w="0" w:type="dxa"/>
              <w:left w:w="0" w:type="dxa"/>
              <w:bottom w:w="0" w:type="dxa"/>
              <w:right w:w="0" w:type="dxa"/>
            </w:tcMar>
          </w:tcPr>
          <w:p w14:paraId="4A057AF3" w14:textId="77777777" w:rsidR="00450CC3" w:rsidRDefault="00000000">
            <w:pPr>
              <w:pBdr>
                <w:top w:val="nil"/>
                <w:left w:val="nil"/>
                <w:bottom w:val="nil"/>
                <w:right w:val="nil"/>
                <w:between w:val="nil"/>
              </w:pBdr>
            </w:pPr>
            <w:r>
              <w:t>Immediate Penalty and Seizure Reforms</w:t>
            </w:r>
          </w:p>
        </w:tc>
        <w:tc>
          <w:tcPr>
            <w:tcW w:w="3120" w:type="dxa"/>
            <w:tcMar>
              <w:top w:w="0" w:type="dxa"/>
              <w:left w:w="0" w:type="dxa"/>
              <w:bottom w:w="0" w:type="dxa"/>
              <w:right w:w="0" w:type="dxa"/>
            </w:tcMar>
          </w:tcPr>
          <w:p w14:paraId="4F4A942B" w14:textId="77777777" w:rsidR="00450CC3" w:rsidRDefault="00000000">
            <w:pPr>
              <w:pBdr>
                <w:top w:val="nil"/>
                <w:left w:val="nil"/>
                <w:bottom w:val="nil"/>
                <w:right w:val="nil"/>
                <w:between w:val="nil"/>
              </w:pBdr>
            </w:pPr>
            <w:r>
              <w:t>Implementation of the 50% minimum penalty floor, mandatory foreign exporter customs documentation, and expedited seizure procedures.</w:t>
            </w:r>
          </w:p>
        </w:tc>
      </w:tr>
      <w:tr w:rsidR="00450CC3" w14:paraId="45EE951A" w14:textId="77777777">
        <w:tc>
          <w:tcPr>
            <w:tcW w:w="3120" w:type="dxa"/>
            <w:tcMar>
              <w:top w:w="0" w:type="dxa"/>
              <w:left w:w="0" w:type="dxa"/>
              <w:bottom w:w="0" w:type="dxa"/>
              <w:right w:w="0" w:type="dxa"/>
            </w:tcMar>
          </w:tcPr>
          <w:p w14:paraId="0B73CF46" w14:textId="77777777" w:rsidR="00450CC3" w:rsidRDefault="00000000">
            <w:pPr>
              <w:pBdr>
                <w:top w:val="nil"/>
                <w:left w:val="nil"/>
                <w:bottom w:val="nil"/>
                <w:right w:val="nil"/>
                <w:between w:val="nil"/>
              </w:pBdr>
              <w:rPr>
                <w:b/>
                <w:bCs/>
              </w:rPr>
            </w:pPr>
            <w:r>
              <w:rPr>
                <w:b/>
                <w:bCs/>
              </w:rPr>
              <w:t>November 30, 2026 (180 Days)</w:t>
            </w:r>
          </w:p>
        </w:tc>
        <w:tc>
          <w:tcPr>
            <w:tcW w:w="3120" w:type="dxa"/>
            <w:tcMar>
              <w:top w:w="0" w:type="dxa"/>
              <w:left w:w="0" w:type="dxa"/>
              <w:bottom w:w="0" w:type="dxa"/>
              <w:right w:w="0" w:type="dxa"/>
            </w:tcMar>
          </w:tcPr>
          <w:p w14:paraId="74E374FC" w14:textId="77777777" w:rsidR="00450CC3" w:rsidRDefault="00000000">
            <w:pPr>
              <w:pBdr>
                <w:top w:val="nil"/>
                <w:left w:val="nil"/>
                <w:bottom w:val="nil"/>
                <w:right w:val="nil"/>
                <w:between w:val="nil"/>
              </w:pBdr>
            </w:pPr>
            <w:r>
              <w:t>Structural IOR Restrictions</w:t>
            </w:r>
          </w:p>
        </w:tc>
        <w:tc>
          <w:tcPr>
            <w:tcW w:w="3120" w:type="dxa"/>
            <w:tcMar>
              <w:top w:w="0" w:type="dxa"/>
              <w:left w:w="0" w:type="dxa"/>
              <w:bottom w:w="0" w:type="dxa"/>
              <w:right w:w="0" w:type="dxa"/>
            </w:tcMar>
          </w:tcPr>
          <w:p w14:paraId="550BEF77" w14:textId="77777777" w:rsidR="00450CC3" w:rsidRDefault="00000000">
            <w:pPr>
              <w:pBdr>
                <w:top w:val="nil"/>
                <w:left w:val="nil"/>
                <w:bottom w:val="nil"/>
                <w:right w:val="nil"/>
                <w:between w:val="nil"/>
              </w:pBdr>
            </w:pPr>
            <w:r>
              <w:t>Enforcement of the Foreign IOR informal entry ban, implementation of minimum tangible domestic asset rules, and recurrent vetting of the official IOR registry.</w:t>
            </w:r>
          </w:p>
        </w:tc>
      </w:tr>
      <w:tr w:rsidR="00450CC3" w14:paraId="3D3A4CFD" w14:textId="77777777">
        <w:tc>
          <w:tcPr>
            <w:tcW w:w="3120" w:type="dxa"/>
            <w:tcMar>
              <w:top w:w="0" w:type="dxa"/>
              <w:left w:w="0" w:type="dxa"/>
              <w:bottom w:w="0" w:type="dxa"/>
              <w:right w:w="0" w:type="dxa"/>
            </w:tcMar>
          </w:tcPr>
          <w:p w14:paraId="6CDADD5C" w14:textId="77777777" w:rsidR="00450CC3" w:rsidRDefault="00000000">
            <w:pPr>
              <w:pBdr>
                <w:top w:val="nil"/>
                <w:left w:val="nil"/>
                <w:bottom w:val="nil"/>
                <w:right w:val="nil"/>
                <w:between w:val="nil"/>
              </w:pBdr>
              <w:rPr>
                <w:b/>
                <w:bCs/>
              </w:rPr>
            </w:pPr>
            <w:r>
              <w:rPr>
                <w:b/>
                <w:bCs/>
              </w:rPr>
              <w:t>June 3, 2027 (1 Year)</w:t>
            </w:r>
          </w:p>
        </w:tc>
        <w:tc>
          <w:tcPr>
            <w:tcW w:w="3120" w:type="dxa"/>
            <w:tcMar>
              <w:top w:w="0" w:type="dxa"/>
              <w:left w:w="0" w:type="dxa"/>
              <w:bottom w:w="0" w:type="dxa"/>
              <w:right w:w="0" w:type="dxa"/>
            </w:tcMar>
          </w:tcPr>
          <w:p w14:paraId="236B073D" w14:textId="77777777" w:rsidR="00450CC3" w:rsidRDefault="00000000">
            <w:pPr>
              <w:pBdr>
                <w:top w:val="nil"/>
                <w:left w:val="nil"/>
                <w:bottom w:val="nil"/>
                <w:right w:val="nil"/>
                <w:between w:val="nil"/>
              </w:pBdr>
            </w:pPr>
            <w:r>
              <w:t>Program Review</w:t>
            </w:r>
          </w:p>
        </w:tc>
        <w:tc>
          <w:tcPr>
            <w:tcW w:w="3120" w:type="dxa"/>
            <w:tcMar>
              <w:top w:w="0" w:type="dxa"/>
              <w:left w:w="0" w:type="dxa"/>
              <w:bottom w:w="0" w:type="dxa"/>
              <w:right w:w="0" w:type="dxa"/>
            </w:tcMar>
          </w:tcPr>
          <w:p w14:paraId="5C016987" w14:textId="77777777" w:rsidR="00450CC3" w:rsidRDefault="00000000">
            <w:pPr>
              <w:pBdr>
                <w:top w:val="nil"/>
                <w:left w:val="nil"/>
                <w:bottom w:val="nil"/>
                <w:right w:val="nil"/>
                <w:between w:val="nil"/>
              </w:pBdr>
            </w:pPr>
            <w:r>
              <w:t>DHS Secretary submits a comprehensive report assessing the overall enforcement effectiveness of the order.</w:t>
            </w:r>
          </w:p>
        </w:tc>
      </w:tr>
    </w:tbl>
    <w:p w14:paraId="00A863CD" w14:textId="77777777" w:rsidR="00450CC3" w:rsidRDefault="00450CC3">
      <w:pPr>
        <w:pStyle w:val="Heading2"/>
      </w:pPr>
    </w:p>
    <w:p w14:paraId="57095370" w14:textId="77777777" w:rsidR="00450CC3" w:rsidRDefault="00000000">
      <w:pPr>
        <w:pStyle w:val="Heading2"/>
      </w:pPr>
      <w:r>
        <w:t>Re-Engineering Postal Importation and Parallel Informal Entry Paths</w:t>
      </w:r>
    </w:p>
    <w:p w14:paraId="1BD2D0B9" w14:textId="77777777" w:rsidR="00450CC3" w:rsidRDefault="00000000">
      <w:pPr>
        <w:pBdr>
          <w:top w:val="nil"/>
          <w:left w:val="nil"/>
          <w:bottom w:val="nil"/>
          <w:right w:val="nil"/>
          <w:between w:val="nil"/>
        </w:pBdr>
        <w:spacing w:after="240"/>
      </w:pPr>
      <w:r>
        <w:t xml:space="preserve">To establish complete parity with the commercial sector, CBP concurrently published the IFR titled </w:t>
      </w:r>
      <w:r>
        <w:rPr>
          <w:i/>
          <w:iCs/>
        </w:rPr>
        <w:t>Indefinite Suspension of the De Minimis Exemption for Mail Shipments and New Postal Informal Entry Process</w:t>
      </w:r>
      <w:r>
        <w:t>. This rule, generally effective on July 24, 2026, suspends the de minimis exemption for all international postal networks. It replaces the temporary Qualified Party (QP) program and the flat-rate specific duty option—the temporary $80, $160, and $200 tiers that expired on February 28, 2026—with standard HTSUS duty collection. Low-value postal shipments are now subject to the same comprehensive duty, tax, and fee calculations as commercial shipments.</w:t>
      </w:r>
    </w:p>
    <w:p w14:paraId="019E10C5" w14:textId="77777777" w:rsidR="00450CC3" w:rsidRDefault="00000000">
      <w:pPr>
        <w:pStyle w:val="Heading3"/>
        <w:spacing w:before="0"/>
      </w:pPr>
      <w:r>
        <w:t>The Interim Mail Entry Process</w:t>
      </w:r>
    </w:p>
    <w:p w14:paraId="27F5F497" w14:textId="77777777" w:rsidR="00450CC3" w:rsidRDefault="00000000">
      <w:pPr>
        <w:pBdr>
          <w:top w:val="nil"/>
          <w:left w:val="nil"/>
          <w:bottom w:val="nil"/>
          <w:right w:val="nil"/>
          <w:between w:val="nil"/>
        </w:pBdr>
      </w:pPr>
      <w:r>
        <w:t xml:space="preserve">For international mail shipments valued at $2,500 or less, the IFR outlines an interim manual reporting mechanism. Under this process, the filer must submit an Excel-based spreadsheet, known as the </w:t>
      </w:r>
      <w:r>
        <w:rPr>
          <w:i/>
          <w:iCs/>
        </w:rPr>
        <w:t>International Mail Duty Worksheet</w:t>
      </w:r>
      <w:r>
        <w:t xml:space="preserve"> (IMDW), directly to CBP via email at CBPDM@cbp.dhs.gov. Because the IMDW requires a Filer Code and a basic importation bond meeting the standards of 19 CFR 113.62, the filer must be a party with the legal right to make entry, specifically a licensed U.S. customs broker. Importers and foreign postal operators (FPOs) who previously operated via non-broker QPs are required to secure representation from </w:t>
      </w:r>
      <w:r>
        <w:lastRenderedPageBreak/>
        <w:t>licensed customs brokers to validate these fields.</w:t>
      </w:r>
    </w:p>
    <w:p w14:paraId="21B4FFFA" w14:textId="77777777" w:rsidR="00450CC3" w:rsidRDefault="00450CC3">
      <w:pPr>
        <w:pBdr>
          <w:top w:val="nil"/>
          <w:left w:val="nil"/>
          <w:bottom w:val="nil"/>
          <w:right w:val="nil"/>
          <w:between w:val="nil"/>
        </w:pBdr>
      </w:pPr>
    </w:p>
    <w:p w14:paraId="37CCE4DD" w14:textId="77777777" w:rsidR="00450CC3" w:rsidRDefault="00000000">
      <w:pPr>
        <w:pBdr>
          <w:top w:val="nil"/>
          <w:left w:val="nil"/>
          <w:bottom w:val="nil"/>
          <w:right w:val="nil"/>
          <w:between w:val="nil"/>
        </w:pBdr>
      </w:pPr>
      <w:r>
        <w:t>Worksheets and payments must be compiled and submitted electronically via Pay.gov by the 7th day of the month following the month of the package's arrival. To prevent immediate logistics backlogs, the IFR permits a 120-day transition period ending on October 22, 2026. During this transition, low-value postal shipments subject to PGA requirements, Chapter 98/99 duties, or FTA claims may use this informal process. After October 22, 2026, these shipments must use formal entry procedures or participate in the automated Entry Type 13 Test.</w:t>
      </w:r>
    </w:p>
    <w:p w14:paraId="4A74B59C" w14:textId="77777777" w:rsidR="00450CC3" w:rsidRDefault="00000000">
      <w:pPr>
        <w:pBdr>
          <w:top w:val="nil"/>
          <w:left w:val="nil"/>
          <w:bottom w:val="nil"/>
          <w:right w:val="nil"/>
          <w:between w:val="nil"/>
        </w:pBdr>
      </w:pPr>
      <w:r>
        <w:br w:type="page"/>
      </w:r>
    </w:p>
    <w:p w14:paraId="7A67F032" w14:textId="77777777" w:rsidR="00450CC3" w:rsidRDefault="00450CC3">
      <w:pPr>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50CC3" w14:paraId="1310A6D4" w14:textId="77777777">
        <w:trPr>
          <w:tblHeader/>
        </w:trPr>
        <w:tc>
          <w:tcPr>
            <w:tcW w:w="2340" w:type="dxa"/>
            <w:tcMar>
              <w:top w:w="0" w:type="dxa"/>
              <w:left w:w="0" w:type="dxa"/>
              <w:bottom w:w="0" w:type="dxa"/>
              <w:right w:w="0" w:type="dxa"/>
            </w:tcMar>
          </w:tcPr>
          <w:p w14:paraId="007695CB" w14:textId="77777777" w:rsidR="00450CC3" w:rsidRDefault="00000000">
            <w:pPr>
              <w:pBdr>
                <w:top w:val="nil"/>
                <w:left w:val="nil"/>
                <w:bottom w:val="nil"/>
                <w:right w:val="nil"/>
                <w:between w:val="nil"/>
              </w:pBdr>
            </w:pPr>
            <w:r>
              <w:t>Field Number</w:t>
            </w:r>
          </w:p>
        </w:tc>
        <w:tc>
          <w:tcPr>
            <w:tcW w:w="2340" w:type="dxa"/>
            <w:tcMar>
              <w:top w:w="0" w:type="dxa"/>
              <w:left w:w="0" w:type="dxa"/>
              <w:bottom w:w="0" w:type="dxa"/>
              <w:right w:w="0" w:type="dxa"/>
            </w:tcMar>
          </w:tcPr>
          <w:p w14:paraId="605D4850" w14:textId="77777777" w:rsidR="00450CC3" w:rsidRDefault="00000000">
            <w:pPr>
              <w:pBdr>
                <w:top w:val="nil"/>
                <w:left w:val="nil"/>
                <w:bottom w:val="nil"/>
                <w:right w:val="nil"/>
                <w:between w:val="nil"/>
              </w:pBdr>
            </w:pPr>
            <w:r>
              <w:t>IMDW Excel Field</w:t>
            </w:r>
          </w:p>
        </w:tc>
        <w:tc>
          <w:tcPr>
            <w:tcW w:w="2340" w:type="dxa"/>
            <w:tcMar>
              <w:top w:w="0" w:type="dxa"/>
              <w:left w:w="0" w:type="dxa"/>
              <w:bottom w:w="0" w:type="dxa"/>
              <w:right w:w="0" w:type="dxa"/>
            </w:tcMar>
          </w:tcPr>
          <w:p w14:paraId="75AC0E69" w14:textId="77777777" w:rsidR="00450CC3" w:rsidRDefault="00000000">
            <w:pPr>
              <w:pBdr>
                <w:top w:val="nil"/>
                <w:left w:val="nil"/>
                <w:bottom w:val="nil"/>
                <w:right w:val="nil"/>
                <w:between w:val="nil"/>
              </w:pBdr>
            </w:pPr>
            <w:r>
              <w:t>Data Format and Constraints</w:t>
            </w:r>
          </w:p>
        </w:tc>
        <w:tc>
          <w:tcPr>
            <w:tcW w:w="2340" w:type="dxa"/>
            <w:tcMar>
              <w:top w:w="0" w:type="dxa"/>
              <w:left w:w="0" w:type="dxa"/>
              <w:bottom w:w="0" w:type="dxa"/>
              <w:right w:w="0" w:type="dxa"/>
            </w:tcMar>
          </w:tcPr>
          <w:p w14:paraId="64B1C648" w14:textId="77777777" w:rsidR="00450CC3" w:rsidRDefault="00000000">
            <w:pPr>
              <w:pBdr>
                <w:top w:val="nil"/>
                <w:left w:val="nil"/>
                <w:bottom w:val="nil"/>
                <w:right w:val="nil"/>
                <w:between w:val="nil"/>
              </w:pBdr>
            </w:pPr>
            <w:r>
              <w:t>Conditional Applicability</w:t>
            </w:r>
          </w:p>
        </w:tc>
      </w:tr>
      <w:tr w:rsidR="00450CC3" w14:paraId="4A024638" w14:textId="77777777">
        <w:tc>
          <w:tcPr>
            <w:tcW w:w="2340" w:type="dxa"/>
            <w:tcMar>
              <w:top w:w="0" w:type="dxa"/>
              <w:left w:w="0" w:type="dxa"/>
              <w:bottom w:w="0" w:type="dxa"/>
              <w:right w:w="0" w:type="dxa"/>
            </w:tcMar>
          </w:tcPr>
          <w:p w14:paraId="00DCD15C" w14:textId="77777777" w:rsidR="00450CC3" w:rsidRDefault="00000000">
            <w:pPr>
              <w:pBdr>
                <w:top w:val="nil"/>
                <w:left w:val="nil"/>
                <w:bottom w:val="nil"/>
                <w:right w:val="nil"/>
                <w:between w:val="nil"/>
              </w:pBdr>
              <w:rPr>
                <w:b/>
                <w:bCs/>
              </w:rPr>
            </w:pPr>
            <w:r>
              <w:rPr>
                <w:b/>
                <w:bCs/>
              </w:rPr>
              <w:t>1</w:t>
            </w:r>
          </w:p>
        </w:tc>
        <w:tc>
          <w:tcPr>
            <w:tcW w:w="2340" w:type="dxa"/>
            <w:tcMar>
              <w:top w:w="0" w:type="dxa"/>
              <w:left w:w="0" w:type="dxa"/>
              <w:bottom w:w="0" w:type="dxa"/>
              <w:right w:w="0" w:type="dxa"/>
            </w:tcMar>
          </w:tcPr>
          <w:p w14:paraId="32586EB2" w14:textId="77777777" w:rsidR="00450CC3" w:rsidRDefault="00000000">
            <w:pPr>
              <w:pBdr>
                <w:top w:val="nil"/>
                <w:left w:val="nil"/>
                <w:bottom w:val="nil"/>
                <w:right w:val="nil"/>
                <w:between w:val="nil"/>
              </w:pBdr>
            </w:pPr>
            <w:r>
              <w:t>Filer Code</w:t>
            </w:r>
          </w:p>
        </w:tc>
        <w:tc>
          <w:tcPr>
            <w:tcW w:w="2340" w:type="dxa"/>
            <w:tcMar>
              <w:top w:w="0" w:type="dxa"/>
              <w:left w:w="0" w:type="dxa"/>
              <w:bottom w:w="0" w:type="dxa"/>
              <w:right w:w="0" w:type="dxa"/>
            </w:tcMar>
          </w:tcPr>
          <w:p w14:paraId="059B65F4" w14:textId="77777777" w:rsidR="00450CC3" w:rsidRDefault="00000000">
            <w:pPr>
              <w:pBdr>
                <w:top w:val="nil"/>
                <w:left w:val="nil"/>
                <w:bottom w:val="nil"/>
                <w:right w:val="nil"/>
                <w:between w:val="nil"/>
              </w:pBdr>
            </w:pPr>
            <w:r>
              <w:t>3-character alphanumeric broker identifier</w:t>
            </w:r>
          </w:p>
        </w:tc>
        <w:tc>
          <w:tcPr>
            <w:tcW w:w="2340" w:type="dxa"/>
            <w:tcMar>
              <w:top w:w="0" w:type="dxa"/>
              <w:left w:w="0" w:type="dxa"/>
              <w:bottom w:w="0" w:type="dxa"/>
              <w:right w:w="0" w:type="dxa"/>
            </w:tcMar>
          </w:tcPr>
          <w:p w14:paraId="35A304F7" w14:textId="77777777" w:rsidR="00450CC3" w:rsidRDefault="00000000">
            <w:pPr>
              <w:pBdr>
                <w:top w:val="nil"/>
                <w:left w:val="nil"/>
                <w:bottom w:val="nil"/>
                <w:right w:val="nil"/>
                <w:between w:val="nil"/>
              </w:pBdr>
            </w:pPr>
            <w:r>
              <w:t>Mandatory; validates licensed broker status.</w:t>
            </w:r>
          </w:p>
        </w:tc>
      </w:tr>
      <w:tr w:rsidR="00450CC3" w14:paraId="43708487" w14:textId="77777777">
        <w:tc>
          <w:tcPr>
            <w:tcW w:w="2340" w:type="dxa"/>
            <w:tcMar>
              <w:top w:w="0" w:type="dxa"/>
              <w:left w:w="0" w:type="dxa"/>
              <w:bottom w:w="0" w:type="dxa"/>
              <w:right w:w="0" w:type="dxa"/>
            </w:tcMar>
          </w:tcPr>
          <w:p w14:paraId="544CA357" w14:textId="77777777" w:rsidR="00450CC3" w:rsidRDefault="00000000">
            <w:pPr>
              <w:pBdr>
                <w:top w:val="nil"/>
                <w:left w:val="nil"/>
                <w:bottom w:val="nil"/>
                <w:right w:val="nil"/>
                <w:between w:val="nil"/>
              </w:pBdr>
              <w:rPr>
                <w:b/>
                <w:bCs/>
              </w:rPr>
            </w:pPr>
            <w:r>
              <w:rPr>
                <w:b/>
                <w:bCs/>
              </w:rPr>
              <w:t>2</w:t>
            </w:r>
          </w:p>
        </w:tc>
        <w:tc>
          <w:tcPr>
            <w:tcW w:w="2340" w:type="dxa"/>
            <w:tcMar>
              <w:top w:w="0" w:type="dxa"/>
              <w:left w:w="0" w:type="dxa"/>
              <w:bottom w:w="0" w:type="dxa"/>
              <w:right w:w="0" w:type="dxa"/>
            </w:tcMar>
          </w:tcPr>
          <w:p w14:paraId="1B232802" w14:textId="77777777" w:rsidR="00450CC3" w:rsidRDefault="00000000">
            <w:pPr>
              <w:pBdr>
                <w:top w:val="nil"/>
                <w:left w:val="nil"/>
                <w:bottom w:val="nil"/>
                <w:right w:val="nil"/>
                <w:between w:val="nil"/>
              </w:pBdr>
            </w:pPr>
            <w:r>
              <w:t>Bond Number</w:t>
            </w:r>
          </w:p>
        </w:tc>
        <w:tc>
          <w:tcPr>
            <w:tcW w:w="2340" w:type="dxa"/>
            <w:tcMar>
              <w:top w:w="0" w:type="dxa"/>
              <w:left w:w="0" w:type="dxa"/>
              <w:bottom w:w="0" w:type="dxa"/>
              <w:right w:w="0" w:type="dxa"/>
            </w:tcMar>
          </w:tcPr>
          <w:p w14:paraId="2EC2A1AE" w14:textId="77777777" w:rsidR="00450CC3" w:rsidRDefault="00000000">
            <w:pPr>
              <w:pBdr>
                <w:top w:val="nil"/>
                <w:left w:val="nil"/>
                <w:bottom w:val="nil"/>
                <w:right w:val="nil"/>
                <w:between w:val="nil"/>
              </w:pBdr>
            </w:pPr>
            <w:r>
              <w:t>Alphanumeric CBP bond identifier</w:t>
            </w:r>
          </w:p>
        </w:tc>
        <w:tc>
          <w:tcPr>
            <w:tcW w:w="2340" w:type="dxa"/>
            <w:tcMar>
              <w:top w:w="0" w:type="dxa"/>
              <w:left w:w="0" w:type="dxa"/>
              <w:bottom w:w="0" w:type="dxa"/>
              <w:right w:w="0" w:type="dxa"/>
            </w:tcMar>
          </w:tcPr>
          <w:p w14:paraId="7BC15897" w14:textId="77777777" w:rsidR="00450CC3" w:rsidRDefault="00000000">
            <w:pPr>
              <w:pBdr>
                <w:top w:val="nil"/>
                <w:left w:val="nil"/>
                <w:bottom w:val="nil"/>
                <w:right w:val="nil"/>
                <w:between w:val="nil"/>
              </w:pBdr>
            </w:pPr>
            <w:r>
              <w:t>Mandatory; basic importation bond under 19 CFR 113.62.</w:t>
            </w:r>
          </w:p>
        </w:tc>
      </w:tr>
      <w:tr w:rsidR="00450CC3" w14:paraId="5D5FE6E5" w14:textId="77777777">
        <w:tc>
          <w:tcPr>
            <w:tcW w:w="2340" w:type="dxa"/>
            <w:tcMar>
              <w:top w:w="0" w:type="dxa"/>
              <w:left w:w="0" w:type="dxa"/>
              <w:bottom w:w="0" w:type="dxa"/>
              <w:right w:w="0" w:type="dxa"/>
            </w:tcMar>
          </w:tcPr>
          <w:p w14:paraId="4E9909A1" w14:textId="77777777" w:rsidR="00450CC3" w:rsidRDefault="00000000">
            <w:pPr>
              <w:pBdr>
                <w:top w:val="nil"/>
                <w:left w:val="nil"/>
                <w:bottom w:val="nil"/>
                <w:right w:val="nil"/>
                <w:between w:val="nil"/>
              </w:pBdr>
              <w:rPr>
                <w:b/>
                <w:bCs/>
              </w:rPr>
            </w:pPr>
            <w:r>
              <w:rPr>
                <w:b/>
                <w:bCs/>
              </w:rPr>
              <w:t>3</w:t>
            </w:r>
          </w:p>
        </w:tc>
        <w:tc>
          <w:tcPr>
            <w:tcW w:w="2340" w:type="dxa"/>
            <w:tcMar>
              <w:top w:w="0" w:type="dxa"/>
              <w:left w:w="0" w:type="dxa"/>
              <w:bottom w:w="0" w:type="dxa"/>
              <w:right w:w="0" w:type="dxa"/>
            </w:tcMar>
          </w:tcPr>
          <w:p w14:paraId="6013567A" w14:textId="77777777" w:rsidR="00450CC3" w:rsidRDefault="00000000">
            <w:pPr>
              <w:pBdr>
                <w:top w:val="nil"/>
                <w:left w:val="nil"/>
                <w:bottom w:val="nil"/>
                <w:right w:val="nil"/>
                <w:between w:val="nil"/>
              </w:pBdr>
            </w:pPr>
            <w:r>
              <w:t>Description of Merchandise</w:t>
            </w:r>
          </w:p>
        </w:tc>
        <w:tc>
          <w:tcPr>
            <w:tcW w:w="2340" w:type="dxa"/>
            <w:tcMar>
              <w:top w:w="0" w:type="dxa"/>
              <w:left w:w="0" w:type="dxa"/>
              <w:bottom w:w="0" w:type="dxa"/>
              <w:right w:w="0" w:type="dxa"/>
            </w:tcMar>
          </w:tcPr>
          <w:p w14:paraId="60E98339" w14:textId="77777777" w:rsidR="00450CC3" w:rsidRDefault="00000000">
            <w:pPr>
              <w:pBdr>
                <w:top w:val="nil"/>
                <w:left w:val="nil"/>
                <w:bottom w:val="nil"/>
                <w:right w:val="nil"/>
                <w:between w:val="nil"/>
              </w:pBdr>
            </w:pPr>
            <w:r>
              <w:t>Full English descriptive text</w:t>
            </w:r>
          </w:p>
        </w:tc>
        <w:tc>
          <w:tcPr>
            <w:tcW w:w="2340" w:type="dxa"/>
            <w:tcMar>
              <w:top w:w="0" w:type="dxa"/>
              <w:left w:w="0" w:type="dxa"/>
              <w:bottom w:w="0" w:type="dxa"/>
              <w:right w:w="0" w:type="dxa"/>
            </w:tcMar>
          </w:tcPr>
          <w:p w14:paraId="795C1A0A" w14:textId="77777777" w:rsidR="00450CC3" w:rsidRDefault="00000000">
            <w:pPr>
              <w:pBdr>
                <w:top w:val="nil"/>
                <w:left w:val="nil"/>
                <w:bottom w:val="nil"/>
                <w:right w:val="nil"/>
                <w:between w:val="nil"/>
              </w:pBdr>
            </w:pPr>
            <w:r>
              <w:t>Mandatory.</w:t>
            </w:r>
          </w:p>
        </w:tc>
      </w:tr>
      <w:tr w:rsidR="00450CC3" w14:paraId="368AAF27" w14:textId="77777777">
        <w:tc>
          <w:tcPr>
            <w:tcW w:w="2340" w:type="dxa"/>
            <w:tcMar>
              <w:top w:w="0" w:type="dxa"/>
              <w:left w:w="0" w:type="dxa"/>
              <w:bottom w:w="0" w:type="dxa"/>
              <w:right w:w="0" w:type="dxa"/>
            </w:tcMar>
          </w:tcPr>
          <w:p w14:paraId="4329C35F" w14:textId="77777777" w:rsidR="00450CC3" w:rsidRDefault="00000000">
            <w:pPr>
              <w:pBdr>
                <w:top w:val="nil"/>
                <w:left w:val="nil"/>
                <w:bottom w:val="nil"/>
                <w:right w:val="nil"/>
                <w:between w:val="nil"/>
              </w:pBdr>
              <w:rPr>
                <w:b/>
                <w:bCs/>
              </w:rPr>
            </w:pPr>
            <w:r>
              <w:rPr>
                <w:b/>
                <w:bCs/>
              </w:rPr>
              <w:t>4</w:t>
            </w:r>
          </w:p>
        </w:tc>
        <w:tc>
          <w:tcPr>
            <w:tcW w:w="2340" w:type="dxa"/>
            <w:tcMar>
              <w:top w:w="0" w:type="dxa"/>
              <w:left w:w="0" w:type="dxa"/>
              <w:bottom w:w="0" w:type="dxa"/>
              <w:right w:w="0" w:type="dxa"/>
            </w:tcMar>
          </w:tcPr>
          <w:p w14:paraId="3438E7BB" w14:textId="77777777" w:rsidR="00450CC3" w:rsidRDefault="00000000">
            <w:pPr>
              <w:pBdr>
                <w:top w:val="nil"/>
                <w:left w:val="nil"/>
                <w:bottom w:val="nil"/>
                <w:right w:val="nil"/>
                <w:between w:val="nil"/>
              </w:pBdr>
            </w:pPr>
            <w:r>
              <w:t>Country of Origin</w:t>
            </w:r>
          </w:p>
        </w:tc>
        <w:tc>
          <w:tcPr>
            <w:tcW w:w="2340" w:type="dxa"/>
            <w:tcMar>
              <w:top w:w="0" w:type="dxa"/>
              <w:left w:w="0" w:type="dxa"/>
              <w:bottom w:w="0" w:type="dxa"/>
              <w:right w:w="0" w:type="dxa"/>
            </w:tcMar>
          </w:tcPr>
          <w:p w14:paraId="061ED112" w14:textId="77777777" w:rsidR="00450CC3" w:rsidRDefault="00000000">
            <w:pPr>
              <w:pBdr>
                <w:top w:val="nil"/>
                <w:left w:val="nil"/>
                <w:bottom w:val="nil"/>
                <w:right w:val="nil"/>
                <w:between w:val="nil"/>
              </w:pBdr>
            </w:pPr>
            <w:r>
              <w:t>2-character ISO country code</w:t>
            </w:r>
          </w:p>
        </w:tc>
        <w:tc>
          <w:tcPr>
            <w:tcW w:w="2340" w:type="dxa"/>
            <w:tcMar>
              <w:top w:w="0" w:type="dxa"/>
              <w:left w:w="0" w:type="dxa"/>
              <w:bottom w:w="0" w:type="dxa"/>
              <w:right w:w="0" w:type="dxa"/>
            </w:tcMar>
          </w:tcPr>
          <w:p w14:paraId="674754BC" w14:textId="77777777" w:rsidR="00450CC3" w:rsidRDefault="00000000">
            <w:pPr>
              <w:pBdr>
                <w:top w:val="nil"/>
                <w:left w:val="nil"/>
                <w:bottom w:val="nil"/>
                <w:right w:val="nil"/>
                <w:between w:val="nil"/>
              </w:pBdr>
            </w:pPr>
            <w:r>
              <w:t>Mandatory.</w:t>
            </w:r>
          </w:p>
        </w:tc>
      </w:tr>
      <w:tr w:rsidR="00450CC3" w14:paraId="16E9535A" w14:textId="77777777">
        <w:tc>
          <w:tcPr>
            <w:tcW w:w="2340" w:type="dxa"/>
            <w:tcMar>
              <w:top w:w="0" w:type="dxa"/>
              <w:left w:w="0" w:type="dxa"/>
              <w:bottom w:w="0" w:type="dxa"/>
              <w:right w:w="0" w:type="dxa"/>
            </w:tcMar>
          </w:tcPr>
          <w:p w14:paraId="016E3281" w14:textId="77777777" w:rsidR="00450CC3" w:rsidRDefault="00000000">
            <w:pPr>
              <w:pBdr>
                <w:top w:val="nil"/>
                <w:left w:val="nil"/>
                <w:bottom w:val="nil"/>
                <w:right w:val="nil"/>
                <w:between w:val="nil"/>
              </w:pBdr>
              <w:rPr>
                <w:b/>
                <w:bCs/>
              </w:rPr>
            </w:pPr>
            <w:r>
              <w:rPr>
                <w:b/>
                <w:bCs/>
              </w:rPr>
              <w:t>5</w:t>
            </w:r>
          </w:p>
        </w:tc>
        <w:tc>
          <w:tcPr>
            <w:tcW w:w="2340" w:type="dxa"/>
            <w:tcMar>
              <w:top w:w="0" w:type="dxa"/>
              <w:left w:w="0" w:type="dxa"/>
              <w:bottom w:w="0" w:type="dxa"/>
              <w:right w:w="0" w:type="dxa"/>
            </w:tcMar>
          </w:tcPr>
          <w:p w14:paraId="7B942F57" w14:textId="77777777" w:rsidR="00450CC3" w:rsidRDefault="00000000">
            <w:pPr>
              <w:pBdr>
                <w:top w:val="nil"/>
                <w:left w:val="nil"/>
                <w:bottom w:val="nil"/>
                <w:right w:val="nil"/>
                <w:between w:val="nil"/>
              </w:pBdr>
            </w:pPr>
            <w:r>
              <w:t>HTSUS Classification</w:t>
            </w:r>
          </w:p>
        </w:tc>
        <w:tc>
          <w:tcPr>
            <w:tcW w:w="2340" w:type="dxa"/>
            <w:tcMar>
              <w:top w:w="0" w:type="dxa"/>
              <w:left w:w="0" w:type="dxa"/>
              <w:bottom w:w="0" w:type="dxa"/>
              <w:right w:w="0" w:type="dxa"/>
            </w:tcMar>
          </w:tcPr>
          <w:p w14:paraId="7EE90A73" w14:textId="77777777" w:rsidR="00450CC3" w:rsidRDefault="00000000">
            <w:pPr>
              <w:pBdr>
                <w:top w:val="nil"/>
                <w:left w:val="nil"/>
                <w:bottom w:val="nil"/>
                <w:right w:val="nil"/>
                <w:between w:val="nil"/>
              </w:pBdr>
            </w:pPr>
            <w:r>
              <w:t>10-digit Harmonized Tariff Schedule code</w:t>
            </w:r>
          </w:p>
        </w:tc>
        <w:tc>
          <w:tcPr>
            <w:tcW w:w="2340" w:type="dxa"/>
            <w:tcMar>
              <w:top w:w="0" w:type="dxa"/>
              <w:left w:w="0" w:type="dxa"/>
              <w:bottom w:w="0" w:type="dxa"/>
              <w:right w:w="0" w:type="dxa"/>
            </w:tcMar>
          </w:tcPr>
          <w:p w14:paraId="4D42CE18" w14:textId="77777777" w:rsidR="00450CC3" w:rsidRDefault="00000000">
            <w:pPr>
              <w:pBdr>
                <w:top w:val="nil"/>
                <w:left w:val="nil"/>
                <w:bottom w:val="nil"/>
                <w:right w:val="nil"/>
                <w:between w:val="nil"/>
              </w:pBdr>
            </w:pPr>
            <w:r>
              <w:t>Mandatory.</w:t>
            </w:r>
          </w:p>
        </w:tc>
      </w:tr>
      <w:tr w:rsidR="00450CC3" w14:paraId="3E54DEEC" w14:textId="77777777">
        <w:tc>
          <w:tcPr>
            <w:tcW w:w="2340" w:type="dxa"/>
            <w:tcMar>
              <w:top w:w="0" w:type="dxa"/>
              <w:left w:w="0" w:type="dxa"/>
              <w:bottom w:w="0" w:type="dxa"/>
              <w:right w:w="0" w:type="dxa"/>
            </w:tcMar>
          </w:tcPr>
          <w:p w14:paraId="102F5500" w14:textId="77777777" w:rsidR="00450CC3" w:rsidRDefault="00000000">
            <w:pPr>
              <w:pBdr>
                <w:top w:val="nil"/>
                <w:left w:val="nil"/>
                <w:bottom w:val="nil"/>
                <w:right w:val="nil"/>
                <w:between w:val="nil"/>
              </w:pBdr>
              <w:rPr>
                <w:b/>
                <w:bCs/>
              </w:rPr>
            </w:pPr>
            <w:r>
              <w:rPr>
                <w:b/>
                <w:bCs/>
              </w:rPr>
              <w:t>6</w:t>
            </w:r>
          </w:p>
        </w:tc>
        <w:tc>
          <w:tcPr>
            <w:tcW w:w="2340" w:type="dxa"/>
            <w:tcMar>
              <w:top w:w="0" w:type="dxa"/>
              <w:left w:w="0" w:type="dxa"/>
              <w:bottom w:w="0" w:type="dxa"/>
              <w:right w:w="0" w:type="dxa"/>
            </w:tcMar>
          </w:tcPr>
          <w:p w14:paraId="02DCA869" w14:textId="77777777" w:rsidR="00450CC3" w:rsidRDefault="00000000">
            <w:pPr>
              <w:pBdr>
                <w:top w:val="nil"/>
                <w:left w:val="nil"/>
                <w:bottom w:val="nil"/>
                <w:right w:val="nil"/>
                <w:between w:val="nil"/>
              </w:pBdr>
            </w:pPr>
            <w:r>
              <w:t>Quantity / Weight</w:t>
            </w:r>
          </w:p>
        </w:tc>
        <w:tc>
          <w:tcPr>
            <w:tcW w:w="2340" w:type="dxa"/>
            <w:tcMar>
              <w:top w:w="0" w:type="dxa"/>
              <w:left w:w="0" w:type="dxa"/>
              <w:bottom w:w="0" w:type="dxa"/>
              <w:right w:w="0" w:type="dxa"/>
            </w:tcMar>
          </w:tcPr>
          <w:p w14:paraId="66357B97" w14:textId="77777777" w:rsidR="00450CC3" w:rsidRDefault="00000000">
            <w:pPr>
              <w:pBdr>
                <w:top w:val="nil"/>
                <w:left w:val="nil"/>
                <w:bottom w:val="nil"/>
                <w:right w:val="nil"/>
                <w:between w:val="nil"/>
              </w:pBdr>
            </w:pPr>
            <w:r>
              <w:t>Numeric value and unit of measure</w:t>
            </w:r>
          </w:p>
        </w:tc>
        <w:tc>
          <w:tcPr>
            <w:tcW w:w="2340" w:type="dxa"/>
            <w:tcMar>
              <w:top w:w="0" w:type="dxa"/>
              <w:left w:w="0" w:type="dxa"/>
              <w:bottom w:w="0" w:type="dxa"/>
              <w:right w:w="0" w:type="dxa"/>
            </w:tcMar>
          </w:tcPr>
          <w:p w14:paraId="2CD33995" w14:textId="77777777" w:rsidR="00450CC3" w:rsidRDefault="00000000">
            <w:pPr>
              <w:pBdr>
                <w:top w:val="nil"/>
                <w:left w:val="nil"/>
                <w:bottom w:val="nil"/>
                <w:right w:val="nil"/>
                <w:between w:val="nil"/>
              </w:pBdr>
            </w:pPr>
            <w:r>
              <w:t>Conditional; only required if specific duty rates apply.</w:t>
            </w:r>
          </w:p>
        </w:tc>
      </w:tr>
      <w:tr w:rsidR="00450CC3" w14:paraId="5F9E17A6" w14:textId="77777777">
        <w:tc>
          <w:tcPr>
            <w:tcW w:w="2340" w:type="dxa"/>
            <w:tcMar>
              <w:top w:w="0" w:type="dxa"/>
              <w:left w:w="0" w:type="dxa"/>
              <w:bottom w:w="0" w:type="dxa"/>
              <w:right w:w="0" w:type="dxa"/>
            </w:tcMar>
          </w:tcPr>
          <w:p w14:paraId="58F8DCBF" w14:textId="77777777" w:rsidR="00450CC3" w:rsidRDefault="00000000">
            <w:pPr>
              <w:pBdr>
                <w:top w:val="nil"/>
                <w:left w:val="nil"/>
                <w:bottom w:val="nil"/>
                <w:right w:val="nil"/>
                <w:between w:val="nil"/>
              </w:pBdr>
              <w:rPr>
                <w:b/>
                <w:bCs/>
              </w:rPr>
            </w:pPr>
            <w:r>
              <w:rPr>
                <w:b/>
                <w:bCs/>
              </w:rPr>
              <w:t>7</w:t>
            </w:r>
          </w:p>
        </w:tc>
        <w:tc>
          <w:tcPr>
            <w:tcW w:w="2340" w:type="dxa"/>
            <w:tcMar>
              <w:top w:w="0" w:type="dxa"/>
              <w:left w:w="0" w:type="dxa"/>
              <w:bottom w:w="0" w:type="dxa"/>
              <w:right w:w="0" w:type="dxa"/>
            </w:tcMar>
          </w:tcPr>
          <w:p w14:paraId="5E39837F" w14:textId="77777777" w:rsidR="00450CC3" w:rsidRDefault="00000000">
            <w:pPr>
              <w:pBdr>
                <w:top w:val="nil"/>
                <w:left w:val="nil"/>
                <w:bottom w:val="nil"/>
                <w:right w:val="nil"/>
                <w:between w:val="nil"/>
              </w:pBdr>
            </w:pPr>
            <w:r>
              <w:t>Duty Rate</w:t>
            </w:r>
          </w:p>
        </w:tc>
        <w:tc>
          <w:tcPr>
            <w:tcW w:w="2340" w:type="dxa"/>
            <w:tcMar>
              <w:top w:w="0" w:type="dxa"/>
              <w:left w:w="0" w:type="dxa"/>
              <w:bottom w:w="0" w:type="dxa"/>
              <w:right w:w="0" w:type="dxa"/>
            </w:tcMar>
          </w:tcPr>
          <w:p w14:paraId="5F767F7E" w14:textId="77777777" w:rsidR="00450CC3" w:rsidRDefault="00000000">
            <w:pPr>
              <w:pBdr>
                <w:top w:val="nil"/>
                <w:left w:val="nil"/>
                <w:bottom w:val="nil"/>
                <w:right w:val="nil"/>
                <w:between w:val="nil"/>
              </w:pBdr>
            </w:pPr>
            <w:r>
              <w:t>Ad valorem percentage or specific rate</w:t>
            </w:r>
          </w:p>
        </w:tc>
        <w:tc>
          <w:tcPr>
            <w:tcW w:w="2340" w:type="dxa"/>
            <w:tcMar>
              <w:top w:w="0" w:type="dxa"/>
              <w:left w:w="0" w:type="dxa"/>
              <w:bottom w:w="0" w:type="dxa"/>
              <w:right w:w="0" w:type="dxa"/>
            </w:tcMar>
          </w:tcPr>
          <w:p w14:paraId="6005F53D" w14:textId="77777777" w:rsidR="00450CC3" w:rsidRDefault="00000000">
            <w:pPr>
              <w:pBdr>
                <w:top w:val="nil"/>
                <w:left w:val="nil"/>
                <w:bottom w:val="nil"/>
                <w:right w:val="nil"/>
                <w:between w:val="nil"/>
              </w:pBdr>
            </w:pPr>
            <w:r>
              <w:t>Mandatory.</w:t>
            </w:r>
          </w:p>
        </w:tc>
      </w:tr>
      <w:tr w:rsidR="00450CC3" w14:paraId="47510439" w14:textId="77777777">
        <w:tc>
          <w:tcPr>
            <w:tcW w:w="2340" w:type="dxa"/>
            <w:tcMar>
              <w:top w:w="0" w:type="dxa"/>
              <w:left w:w="0" w:type="dxa"/>
              <w:bottom w:w="0" w:type="dxa"/>
              <w:right w:w="0" w:type="dxa"/>
            </w:tcMar>
          </w:tcPr>
          <w:p w14:paraId="4EFE2A1F" w14:textId="77777777" w:rsidR="00450CC3" w:rsidRDefault="00000000">
            <w:pPr>
              <w:pBdr>
                <w:top w:val="nil"/>
                <w:left w:val="nil"/>
                <w:bottom w:val="nil"/>
                <w:right w:val="nil"/>
                <w:between w:val="nil"/>
              </w:pBdr>
              <w:rPr>
                <w:b/>
                <w:bCs/>
              </w:rPr>
            </w:pPr>
            <w:r>
              <w:rPr>
                <w:b/>
                <w:bCs/>
              </w:rPr>
              <w:t>8</w:t>
            </w:r>
          </w:p>
        </w:tc>
        <w:tc>
          <w:tcPr>
            <w:tcW w:w="2340" w:type="dxa"/>
            <w:tcMar>
              <w:top w:w="0" w:type="dxa"/>
              <w:left w:w="0" w:type="dxa"/>
              <w:bottom w:w="0" w:type="dxa"/>
              <w:right w:w="0" w:type="dxa"/>
            </w:tcMar>
          </w:tcPr>
          <w:p w14:paraId="07A2D9E8" w14:textId="77777777" w:rsidR="00450CC3" w:rsidRDefault="00000000">
            <w:pPr>
              <w:pBdr>
                <w:top w:val="nil"/>
                <w:left w:val="nil"/>
                <w:bottom w:val="nil"/>
                <w:right w:val="nil"/>
                <w:between w:val="nil"/>
              </w:pBdr>
            </w:pPr>
            <w:r>
              <w:t>Value</w:t>
            </w:r>
          </w:p>
        </w:tc>
        <w:tc>
          <w:tcPr>
            <w:tcW w:w="2340" w:type="dxa"/>
            <w:tcMar>
              <w:top w:w="0" w:type="dxa"/>
              <w:left w:w="0" w:type="dxa"/>
              <w:bottom w:w="0" w:type="dxa"/>
              <w:right w:w="0" w:type="dxa"/>
            </w:tcMar>
          </w:tcPr>
          <w:p w14:paraId="0D8E4950" w14:textId="77777777" w:rsidR="00450CC3" w:rsidRDefault="00000000">
            <w:pPr>
              <w:pBdr>
                <w:top w:val="nil"/>
                <w:left w:val="nil"/>
                <w:bottom w:val="nil"/>
                <w:right w:val="nil"/>
                <w:between w:val="nil"/>
              </w:pBdr>
            </w:pPr>
            <w:r>
              <w:t>Transaction value in U.S. dollars</w:t>
            </w:r>
          </w:p>
        </w:tc>
        <w:tc>
          <w:tcPr>
            <w:tcW w:w="2340" w:type="dxa"/>
            <w:tcMar>
              <w:top w:w="0" w:type="dxa"/>
              <w:left w:w="0" w:type="dxa"/>
              <w:bottom w:w="0" w:type="dxa"/>
              <w:right w:w="0" w:type="dxa"/>
            </w:tcMar>
          </w:tcPr>
          <w:p w14:paraId="269F4619" w14:textId="77777777" w:rsidR="00450CC3" w:rsidRDefault="00000000">
            <w:pPr>
              <w:pBdr>
                <w:top w:val="nil"/>
                <w:left w:val="nil"/>
                <w:bottom w:val="nil"/>
                <w:right w:val="nil"/>
                <w:between w:val="nil"/>
              </w:pBdr>
            </w:pPr>
            <w:r>
              <w:t>Mandatory.</w:t>
            </w:r>
          </w:p>
        </w:tc>
      </w:tr>
      <w:tr w:rsidR="00450CC3" w14:paraId="567B44DB" w14:textId="77777777">
        <w:tc>
          <w:tcPr>
            <w:tcW w:w="2340" w:type="dxa"/>
            <w:tcMar>
              <w:top w:w="0" w:type="dxa"/>
              <w:left w:w="0" w:type="dxa"/>
              <w:bottom w:w="0" w:type="dxa"/>
              <w:right w:w="0" w:type="dxa"/>
            </w:tcMar>
          </w:tcPr>
          <w:p w14:paraId="0A1BE211" w14:textId="77777777" w:rsidR="00450CC3" w:rsidRDefault="00000000">
            <w:pPr>
              <w:pBdr>
                <w:top w:val="nil"/>
                <w:left w:val="nil"/>
                <w:bottom w:val="nil"/>
                <w:right w:val="nil"/>
                <w:between w:val="nil"/>
              </w:pBdr>
              <w:rPr>
                <w:b/>
                <w:bCs/>
              </w:rPr>
            </w:pPr>
            <w:r>
              <w:rPr>
                <w:b/>
                <w:bCs/>
              </w:rPr>
              <w:t>9</w:t>
            </w:r>
          </w:p>
        </w:tc>
        <w:tc>
          <w:tcPr>
            <w:tcW w:w="2340" w:type="dxa"/>
            <w:tcMar>
              <w:top w:w="0" w:type="dxa"/>
              <w:left w:w="0" w:type="dxa"/>
              <w:bottom w:w="0" w:type="dxa"/>
              <w:right w:w="0" w:type="dxa"/>
            </w:tcMar>
          </w:tcPr>
          <w:p w14:paraId="6ABC541B" w14:textId="77777777" w:rsidR="00450CC3" w:rsidRDefault="00000000">
            <w:pPr>
              <w:pBdr>
                <w:top w:val="nil"/>
                <w:left w:val="nil"/>
                <w:bottom w:val="nil"/>
                <w:right w:val="nil"/>
                <w:between w:val="nil"/>
              </w:pBdr>
            </w:pPr>
            <w:r>
              <w:t>Total Duty Owed</w:t>
            </w:r>
          </w:p>
        </w:tc>
        <w:tc>
          <w:tcPr>
            <w:tcW w:w="2340" w:type="dxa"/>
            <w:tcMar>
              <w:top w:w="0" w:type="dxa"/>
              <w:left w:w="0" w:type="dxa"/>
              <w:bottom w:w="0" w:type="dxa"/>
              <w:right w:w="0" w:type="dxa"/>
            </w:tcMar>
          </w:tcPr>
          <w:p w14:paraId="55F376E9" w14:textId="77777777" w:rsidR="00450CC3" w:rsidRDefault="00000000">
            <w:pPr>
              <w:pBdr>
                <w:top w:val="nil"/>
                <w:left w:val="nil"/>
                <w:bottom w:val="nil"/>
                <w:right w:val="nil"/>
                <w:between w:val="nil"/>
              </w:pBdr>
            </w:pPr>
            <w:r>
              <w:t>Calculated duty amount in USD</w:t>
            </w:r>
          </w:p>
        </w:tc>
        <w:tc>
          <w:tcPr>
            <w:tcW w:w="2340" w:type="dxa"/>
            <w:tcMar>
              <w:top w:w="0" w:type="dxa"/>
              <w:left w:w="0" w:type="dxa"/>
              <w:bottom w:w="0" w:type="dxa"/>
              <w:right w:w="0" w:type="dxa"/>
            </w:tcMar>
          </w:tcPr>
          <w:p w14:paraId="7825A015" w14:textId="77777777" w:rsidR="00450CC3" w:rsidRDefault="00000000">
            <w:pPr>
              <w:pBdr>
                <w:top w:val="nil"/>
                <w:left w:val="nil"/>
                <w:bottom w:val="nil"/>
                <w:right w:val="nil"/>
                <w:between w:val="nil"/>
              </w:pBdr>
            </w:pPr>
            <w:r>
              <w:t>Mandatory.</w:t>
            </w:r>
          </w:p>
        </w:tc>
      </w:tr>
      <w:tr w:rsidR="00450CC3" w14:paraId="5358A169" w14:textId="77777777">
        <w:tc>
          <w:tcPr>
            <w:tcW w:w="2340" w:type="dxa"/>
            <w:tcMar>
              <w:top w:w="0" w:type="dxa"/>
              <w:left w:w="0" w:type="dxa"/>
              <w:bottom w:w="0" w:type="dxa"/>
              <w:right w:w="0" w:type="dxa"/>
            </w:tcMar>
          </w:tcPr>
          <w:p w14:paraId="520D6FBB" w14:textId="77777777" w:rsidR="00450CC3" w:rsidRDefault="00000000">
            <w:pPr>
              <w:pBdr>
                <w:top w:val="nil"/>
                <w:left w:val="nil"/>
                <w:bottom w:val="nil"/>
                <w:right w:val="nil"/>
                <w:between w:val="nil"/>
              </w:pBdr>
              <w:rPr>
                <w:b/>
                <w:bCs/>
              </w:rPr>
            </w:pPr>
            <w:r>
              <w:rPr>
                <w:b/>
                <w:bCs/>
              </w:rPr>
              <w:t>10</w:t>
            </w:r>
          </w:p>
        </w:tc>
        <w:tc>
          <w:tcPr>
            <w:tcW w:w="2340" w:type="dxa"/>
            <w:tcMar>
              <w:top w:w="0" w:type="dxa"/>
              <w:left w:w="0" w:type="dxa"/>
              <w:bottom w:w="0" w:type="dxa"/>
              <w:right w:w="0" w:type="dxa"/>
            </w:tcMar>
          </w:tcPr>
          <w:p w14:paraId="68844188" w14:textId="77777777" w:rsidR="00450CC3" w:rsidRDefault="00000000">
            <w:pPr>
              <w:pBdr>
                <w:top w:val="nil"/>
                <w:left w:val="nil"/>
                <w:bottom w:val="nil"/>
                <w:right w:val="nil"/>
                <w:between w:val="nil"/>
              </w:pBdr>
            </w:pPr>
            <w:r>
              <w:t>Carrier</w:t>
            </w:r>
          </w:p>
        </w:tc>
        <w:tc>
          <w:tcPr>
            <w:tcW w:w="2340" w:type="dxa"/>
            <w:tcMar>
              <w:top w:w="0" w:type="dxa"/>
              <w:left w:w="0" w:type="dxa"/>
              <w:bottom w:w="0" w:type="dxa"/>
              <w:right w:w="0" w:type="dxa"/>
            </w:tcMar>
          </w:tcPr>
          <w:p w14:paraId="34D2EE20" w14:textId="77777777" w:rsidR="00450CC3" w:rsidRDefault="00000000">
            <w:pPr>
              <w:pBdr>
                <w:top w:val="nil"/>
                <w:left w:val="nil"/>
                <w:bottom w:val="nil"/>
                <w:right w:val="nil"/>
                <w:between w:val="nil"/>
              </w:pBdr>
            </w:pPr>
            <w:r>
              <w:t>Transporter/airline name</w:t>
            </w:r>
          </w:p>
        </w:tc>
        <w:tc>
          <w:tcPr>
            <w:tcW w:w="2340" w:type="dxa"/>
            <w:tcMar>
              <w:top w:w="0" w:type="dxa"/>
              <w:left w:w="0" w:type="dxa"/>
              <w:bottom w:w="0" w:type="dxa"/>
              <w:right w:w="0" w:type="dxa"/>
            </w:tcMar>
          </w:tcPr>
          <w:p w14:paraId="1B0614CC" w14:textId="77777777" w:rsidR="00450CC3" w:rsidRDefault="00000000">
            <w:pPr>
              <w:pBdr>
                <w:top w:val="nil"/>
                <w:left w:val="nil"/>
                <w:bottom w:val="nil"/>
                <w:right w:val="nil"/>
                <w:between w:val="nil"/>
              </w:pBdr>
            </w:pPr>
            <w:r>
              <w:t>Mandatory.</w:t>
            </w:r>
          </w:p>
        </w:tc>
      </w:tr>
      <w:tr w:rsidR="00450CC3" w14:paraId="1458991F" w14:textId="77777777">
        <w:tc>
          <w:tcPr>
            <w:tcW w:w="2340" w:type="dxa"/>
            <w:tcMar>
              <w:top w:w="0" w:type="dxa"/>
              <w:left w:w="0" w:type="dxa"/>
              <w:bottom w:w="0" w:type="dxa"/>
              <w:right w:w="0" w:type="dxa"/>
            </w:tcMar>
          </w:tcPr>
          <w:p w14:paraId="0A35280B" w14:textId="77777777" w:rsidR="00450CC3" w:rsidRDefault="00000000">
            <w:pPr>
              <w:pBdr>
                <w:top w:val="nil"/>
                <w:left w:val="nil"/>
                <w:bottom w:val="nil"/>
                <w:right w:val="nil"/>
                <w:between w:val="nil"/>
              </w:pBdr>
              <w:rPr>
                <w:b/>
                <w:bCs/>
              </w:rPr>
            </w:pPr>
            <w:r>
              <w:rPr>
                <w:b/>
                <w:bCs/>
              </w:rPr>
              <w:t>11</w:t>
            </w:r>
          </w:p>
        </w:tc>
        <w:tc>
          <w:tcPr>
            <w:tcW w:w="2340" w:type="dxa"/>
            <w:tcMar>
              <w:top w:w="0" w:type="dxa"/>
              <w:left w:w="0" w:type="dxa"/>
              <w:bottom w:w="0" w:type="dxa"/>
              <w:right w:w="0" w:type="dxa"/>
            </w:tcMar>
          </w:tcPr>
          <w:p w14:paraId="344DDAE1" w14:textId="77777777" w:rsidR="00450CC3" w:rsidRDefault="00000000">
            <w:pPr>
              <w:pBdr>
                <w:top w:val="nil"/>
                <w:left w:val="nil"/>
                <w:bottom w:val="nil"/>
                <w:right w:val="nil"/>
                <w:between w:val="nil"/>
              </w:pBdr>
            </w:pPr>
            <w:r>
              <w:t>Flight / Conveyance</w:t>
            </w:r>
          </w:p>
        </w:tc>
        <w:tc>
          <w:tcPr>
            <w:tcW w:w="2340" w:type="dxa"/>
            <w:tcMar>
              <w:top w:w="0" w:type="dxa"/>
              <w:left w:w="0" w:type="dxa"/>
              <w:bottom w:w="0" w:type="dxa"/>
              <w:right w:w="0" w:type="dxa"/>
            </w:tcMar>
          </w:tcPr>
          <w:p w14:paraId="29D2BC03" w14:textId="77777777" w:rsidR="00450CC3" w:rsidRDefault="00000000">
            <w:pPr>
              <w:pBdr>
                <w:top w:val="nil"/>
                <w:left w:val="nil"/>
                <w:bottom w:val="nil"/>
                <w:right w:val="nil"/>
                <w:between w:val="nil"/>
              </w:pBdr>
            </w:pPr>
            <w:r>
              <w:t>Flight number or voyage identifier</w:t>
            </w:r>
          </w:p>
        </w:tc>
        <w:tc>
          <w:tcPr>
            <w:tcW w:w="2340" w:type="dxa"/>
            <w:tcMar>
              <w:top w:w="0" w:type="dxa"/>
              <w:left w:w="0" w:type="dxa"/>
              <w:bottom w:w="0" w:type="dxa"/>
              <w:right w:w="0" w:type="dxa"/>
            </w:tcMar>
          </w:tcPr>
          <w:p w14:paraId="14838381" w14:textId="77777777" w:rsidR="00450CC3" w:rsidRDefault="00000000">
            <w:pPr>
              <w:pBdr>
                <w:top w:val="nil"/>
                <w:left w:val="nil"/>
                <w:bottom w:val="nil"/>
                <w:right w:val="nil"/>
                <w:between w:val="nil"/>
              </w:pBdr>
            </w:pPr>
            <w:r>
              <w:t>Mandatory.</w:t>
            </w:r>
          </w:p>
        </w:tc>
      </w:tr>
      <w:tr w:rsidR="00450CC3" w14:paraId="3365AB50" w14:textId="77777777">
        <w:tc>
          <w:tcPr>
            <w:tcW w:w="2340" w:type="dxa"/>
            <w:tcMar>
              <w:top w:w="0" w:type="dxa"/>
              <w:left w:w="0" w:type="dxa"/>
              <w:bottom w:w="0" w:type="dxa"/>
              <w:right w:w="0" w:type="dxa"/>
            </w:tcMar>
          </w:tcPr>
          <w:p w14:paraId="25F70903" w14:textId="77777777" w:rsidR="00450CC3" w:rsidRDefault="00000000">
            <w:pPr>
              <w:pBdr>
                <w:top w:val="nil"/>
                <w:left w:val="nil"/>
                <w:bottom w:val="nil"/>
                <w:right w:val="nil"/>
                <w:between w:val="nil"/>
              </w:pBdr>
              <w:rPr>
                <w:b/>
                <w:bCs/>
              </w:rPr>
            </w:pPr>
            <w:r>
              <w:rPr>
                <w:b/>
                <w:bCs/>
              </w:rPr>
              <w:t>12</w:t>
            </w:r>
          </w:p>
        </w:tc>
        <w:tc>
          <w:tcPr>
            <w:tcW w:w="2340" w:type="dxa"/>
            <w:tcMar>
              <w:top w:w="0" w:type="dxa"/>
              <w:left w:w="0" w:type="dxa"/>
              <w:bottom w:w="0" w:type="dxa"/>
              <w:right w:w="0" w:type="dxa"/>
            </w:tcMar>
          </w:tcPr>
          <w:p w14:paraId="11218E43" w14:textId="77777777" w:rsidR="00450CC3" w:rsidRDefault="00000000">
            <w:pPr>
              <w:pBdr>
                <w:top w:val="nil"/>
                <w:left w:val="nil"/>
                <w:bottom w:val="nil"/>
                <w:right w:val="nil"/>
                <w:between w:val="nil"/>
              </w:pBdr>
            </w:pPr>
            <w:r>
              <w:t>Tracking Number</w:t>
            </w:r>
          </w:p>
        </w:tc>
        <w:tc>
          <w:tcPr>
            <w:tcW w:w="2340" w:type="dxa"/>
            <w:tcMar>
              <w:top w:w="0" w:type="dxa"/>
              <w:left w:w="0" w:type="dxa"/>
              <w:bottom w:w="0" w:type="dxa"/>
              <w:right w:w="0" w:type="dxa"/>
            </w:tcMar>
          </w:tcPr>
          <w:p w14:paraId="4F5B4F78" w14:textId="77777777" w:rsidR="00450CC3" w:rsidRDefault="00000000">
            <w:pPr>
              <w:pBdr>
                <w:top w:val="nil"/>
                <w:left w:val="nil"/>
                <w:bottom w:val="nil"/>
                <w:right w:val="nil"/>
                <w:between w:val="nil"/>
              </w:pBdr>
            </w:pPr>
            <w:r>
              <w:t>Barcode identifier generated by foreign post</w:t>
            </w:r>
          </w:p>
        </w:tc>
        <w:tc>
          <w:tcPr>
            <w:tcW w:w="2340" w:type="dxa"/>
            <w:tcMar>
              <w:top w:w="0" w:type="dxa"/>
              <w:left w:w="0" w:type="dxa"/>
              <w:bottom w:w="0" w:type="dxa"/>
              <w:right w:w="0" w:type="dxa"/>
            </w:tcMar>
          </w:tcPr>
          <w:p w14:paraId="7D049218" w14:textId="77777777" w:rsidR="00450CC3" w:rsidRDefault="00000000">
            <w:pPr>
              <w:pBdr>
                <w:top w:val="nil"/>
                <w:left w:val="nil"/>
                <w:bottom w:val="nil"/>
                <w:right w:val="nil"/>
                <w:between w:val="nil"/>
              </w:pBdr>
            </w:pPr>
            <w:r>
              <w:t>Mandatory; UPU S-10 standard compliant.</w:t>
            </w:r>
          </w:p>
        </w:tc>
      </w:tr>
      <w:tr w:rsidR="00450CC3" w14:paraId="71DF3660" w14:textId="77777777">
        <w:tc>
          <w:tcPr>
            <w:tcW w:w="2340" w:type="dxa"/>
            <w:tcMar>
              <w:top w:w="0" w:type="dxa"/>
              <w:left w:w="0" w:type="dxa"/>
              <w:bottom w:w="0" w:type="dxa"/>
              <w:right w:w="0" w:type="dxa"/>
            </w:tcMar>
          </w:tcPr>
          <w:p w14:paraId="5E69FAFF" w14:textId="77777777" w:rsidR="00450CC3" w:rsidRDefault="00000000">
            <w:pPr>
              <w:pBdr>
                <w:top w:val="nil"/>
                <w:left w:val="nil"/>
                <w:bottom w:val="nil"/>
                <w:right w:val="nil"/>
                <w:between w:val="nil"/>
              </w:pBdr>
              <w:rPr>
                <w:b/>
                <w:bCs/>
              </w:rPr>
            </w:pPr>
            <w:r>
              <w:rPr>
                <w:b/>
                <w:bCs/>
              </w:rPr>
              <w:t>13</w:t>
            </w:r>
          </w:p>
        </w:tc>
        <w:tc>
          <w:tcPr>
            <w:tcW w:w="2340" w:type="dxa"/>
            <w:tcMar>
              <w:top w:w="0" w:type="dxa"/>
              <w:left w:w="0" w:type="dxa"/>
              <w:bottom w:w="0" w:type="dxa"/>
              <w:right w:w="0" w:type="dxa"/>
            </w:tcMar>
          </w:tcPr>
          <w:p w14:paraId="22CEE7CC" w14:textId="77777777" w:rsidR="00450CC3" w:rsidRDefault="00000000">
            <w:pPr>
              <w:pBdr>
                <w:top w:val="nil"/>
                <w:left w:val="nil"/>
                <w:bottom w:val="nil"/>
                <w:right w:val="nil"/>
                <w:between w:val="nil"/>
              </w:pBdr>
            </w:pPr>
            <w:r>
              <w:t>Arrival Port</w:t>
            </w:r>
          </w:p>
        </w:tc>
        <w:tc>
          <w:tcPr>
            <w:tcW w:w="2340" w:type="dxa"/>
            <w:tcMar>
              <w:top w:w="0" w:type="dxa"/>
              <w:left w:w="0" w:type="dxa"/>
              <w:bottom w:w="0" w:type="dxa"/>
              <w:right w:w="0" w:type="dxa"/>
            </w:tcMar>
          </w:tcPr>
          <w:p w14:paraId="769F4ACF" w14:textId="77777777" w:rsidR="00450CC3" w:rsidRDefault="00000000">
            <w:pPr>
              <w:pBdr>
                <w:top w:val="nil"/>
                <w:left w:val="nil"/>
                <w:bottom w:val="nil"/>
                <w:right w:val="nil"/>
                <w:between w:val="nil"/>
              </w:pBdr>
            </w:pPr>
            <w:r>
              <w:t>4-digit CBP port code</w:t>
            </w:r>
          </w:p>
        </w:tc>
        <w:tc>
          <w:tcPr>
            <w:tcW w:w="2340" w:type="dxa"/>
            <w:tcMar>
              <w:top w:w="0" w:type="dxa"/>
              <w:left w:w="0" w:type="dxa"/>
              <w:bottom w:w="0" w:type="dxa"/>
              <w:right w:w="0" w:type="dxa"/>
            </w:tcMar>
          </w:tcPr>
          <w:p w14:paraId="5805CEE6" w14:textId="77777777" w:rsidR="00450CC3" w:rsidRDefault="00000000">
            <w:pPr>
              <w:pBdr>
                <w:top w:val="nil"/>
                <w:left w:val="nil"/>
                <w:bottom w:val="nil"/>
                <w:right w:val="nil"/>
                <w:between w:val="nil"/>
              </w:pBdr>
            </w:pPr>
            <w:r>
              <w:t>Mandatory.</w:t>
            </w:r>
          </w:p>
        </w:tc>
      </w:tr>
      <w:tr w:rsidR="00450CC3" w14:paraId="256BF5CD" w14:textId="77777777">
        <w:tc>
          <w:tcPr>
            <w:tcW w:w="2340" w:type="dxa"/>
            <w:tcMar>
              <w:top w:w="0" w:type="dxa"/>
              <w:left w:w="0" w:type="dxa"/>
              <w:bottom w:w="0" w:type="dxa"/>
              <w:right w:w="0" w:type="dxa"/>
            </w:tcMar>
          </w:tcPr>
          <w:p w14:paraId="1B360580" w14:textId="77777777" w:rsidR="00450CC3" w:rsidRDefault="00000000">
            <w:pPr>
              <w:pBdr>
                <w:top w:val="nil"/>
                <w:left w:val="nil"/>
                <w:bottom w:val="nil"/>
                <w:right w:val="nil"/>
                <w:between w:val="nil"/>
              </w:pBdr>
              <w:rPr>
                <w:b/>
                <w:bCs/>
              </w:rPr>
            </w:pPr>
            <w:r>
              <w:rPr>
                <w:b/>
                <w:bCs/>
              </w:rPr>
              <w:t>14</w:t>
            </w:r>
          </w:p>
        </w:tc>
        <w:tc>
          <w:tcPr>
            <w:tcW w:w="2340" w:type="dxa"/>
            <w:tcMar>
              <w:top w:w="0" w:type="dxa"/>
              <w:left w:w="0" w:type="dxa"/>
              <w:bottom w:w="0" w:type="dxa"/>
              <w:right w:w="0" w:type="dxa"/>
            </w:tcMar>
          </w:tcPr>
          <w:p w14:paraId="027DC650" w14:textId="77777777" w:rsidR="00450CC3" w:rsidRDefault="00000000">
            <w:pPr>
              <w:pBdr>
                <w:top w:val="nil"/>
                <w:left w:val="nil"/>
                <w:bottom w:val="nil"/>
                <w:right w:val="nil"/>
                <w:between w:val="nil"/>
              </w:pBdr>
            </w:pPr>
            <w:r>
              <w:t>Arrival Date</w:t>
            </w:r>
          </w:p>
        </w:tc>
        <w:tc>
          <w:tcPr>
            <w:tcW w:w="2340" w:type="dxa"/>
            <w:tcMar>
              <w:top w:w="0" w:type="dxa"/>
              <w:left w:w="0" w:type="dxa"/>
              <w:bottom w:w="0" w:type="dxa"/>
              <w:right w:w="0" w:type="dxa"/>
            </w:tcMar>
          </w:tcPr>
          <w:p w14:paraId="2E2D9121" w14:textId="77777777" w:rsidR="00450CC3" w:rsidRDefault="00000000">
            <w:pPr>
              <w:pBdr>
                <w:top w:val="nil"/>
                <w:left w:val="nil"/>
                <w:bottom w:val="nil"/>
                <w:right w:val="nil"/>
                <w:between w:val="nil"/>
              </w:pBdr>
            </w:pPr>
            <w:r>
              <w:t>Date format (MM/DD/YYYY)</w:t>
            </w:r>
          </w:p>
        </w:tc>
        <w:tc>
          <w:tcPr>
            <w:tcW w:w="2340" w:type="dxa"/>
            <w:tcMar>
              <w:top w:w="0" w:type="dxa"/>
              <w:left w:w="0" w:type="dxa"/>
              <w:bottom w:w="0" w:type="dxa"/>
              <w:right w:w="0" w:type="dxa"/>
            </w:tcMar>
          </w:tcPr>
          <w:p w14:paraId="25255CF5" w14:textId="77777777" w:rsidR="00450CC3" w:rsidRDefault="00000000">
            <w:pPr>
              <w:pBdr>
                <w:top w:val="nil"/>
                <w:left w:val="nil"/>
                <w:bottom w:val="nil"/>
                <w:right w:val="nil"/>
                <w:between w:val="nil"/>
              </w:pBdr>
            </w:pPr>
            <w:r>
              <w:t>Mandatory.</w:t>
            </w:r>
          </w:p>
        </w:tc>
      </w:tr>
    </w:tbl>
    <w:p w14:paraId="39C1884C" w14:textId="77777777" w:rsidR="00450CC3" w:rsidRDefault="00450CC3">
      <w:pPr>
        <w:pStyle w:val="Heading3"/>
      </w:pPr>
    </w:p>
    <w:p w14:paraId="5096A8BF" w14:textId="77777777" w:rsidR="00450CC3" w:rsidRDefault="00000000">
      <w:pPr>
        <w:pStyle w:val="Heading3"/>
      </w:pPr>
      <w:r>
        <w:t>The Entry Type 13 Automated Test</w:t>
      </w:r>
    </w:p>
    <w:p w14:paraId="3ED478C2" w14:textId="77777777" w:rsidR="00450CC3" w:rsidRDefault="00000000">
      <w:pPr>
        <w:pBdr>
          <w:top w:val="nil"/>
          <w:left w:val="nil"/>
          <w:bottom w:val="nil"/>
          <w:right w:val="nil"/>
          <w:between w:val="nil"/>
        </w:pBdr>
      </w:pPr>
      <w:r>
        <w:t xml:space="preserve">To automate informal entry processing for international mail shipments valued at $2,500 or less, CBP announced the voluntary </w:t>
      </w:r>
      <w:r>
        <w:rPr>
          <w:i/>
          <w:iCs/>
        </w:rPr>
        <w:t>Entry Type 13 – Informal Mail Entry</w:t>
      </w:r>
      <w:r>
        <w:t xml:space="preserve"> test. Commencing in ACE on September 22, 2026, the test replaces manual spreadsheet submissions with direct electronic filing.</w:t>
      </w:r>
    </w:p>
    <w:p w14:paraId="78298E5A" w14:textId="77777777" w:rsidR="00450CC3" w:rsidRDefault="00450CC3">
      <w:pPr>
        <w:pBdr>
          <w:top w:val="nil"/>
          <w:left w:val="nil"/>
          <w:bottom w:val="nil"/>
          <w:right w:val="nil"/>
          <w:between w:val="nil"/>
        </w:pBdr>
      </w:pPr>
    </w:p>
    <w:p w14:paraId="6D4717C4" w14:textId="77777777" w:rsidR="00450CC3" w:rsidRDefault="00000000">
      <w:pPr>
        <w:pBdr>
          <w:top w:val="nil"/>
          <w:left w:val="nil"/>
          <w:bottom w:val="nil"/>
          <w:right w:val="nil"/>
          <w:between w:val="nil"/>
        </w:pBdr>
      </w:pPr>
      <w:r>
        <w:t xml:space="preserve">To incentivize participation, CBP is waiving specific regulations. Under Entry Type 13, low-value mail shipments subject to PGA data requirements (waiving 19 CFR 145.12(a)(2)(v)) and merchandise subject to duties under HTSUS Chapters 98 and 99 (waiving 19 CFR 145.12(a)(2)(vi)) may enter informally. Absolute exclusions remain in effect: any mail shipments subject to quotas or AD/CVD are barred from the Entry Type 13 Test and must clear customs </w:t>
      </w:r>
      <w:r>
        <w:lastRenderedPageBreak/>
        <w:t>under formal entry procedures. FPOs, USPS, freight forwarders, and carrier networks participating in the test must utilize licensed customs brokers to submit these electronic transmissions.</w:t>
      </w:r>
    </w:p>
    <w:p w14:paraId="5B67AAD2" w14:textId="77777777" w:rsidR="00450CC3" w:rsidRDefault="00450CC3">
      <w:pPr>
        <w:pBdr>
          <w:top w:val="nil"/>
          <w:left w:val="nil"/>
          <w:bottom w:val="nil"/>
          <w:right w:val="nil"/>
          <w:between w:val="nil"/>
        </w:pBd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50CC3" w14:paraId="5DA0A90E" w14:textId="77777777">
        <w:trPr>
          <w:tblHeader/>
        </w:trPr>
        <w:tc>
          <w:tcPr>
            <w:tcW w:w="3120" w:type="dxa"/>
            <w:tcMar>
              <w:top w:w="0" w:type="dxa"/>
              <w:left w:w="0" w:type="dxa"/>
              <w:bottom w:w="0" w:type="dxa"/>
              <w:right w:w="0" w:type="dxa"/>
            </w:tcMar>
          </w:tcPr>
          <w:p w14:paraId="3311146E" w14:textId="77777777" w:rsidR="00450CC3" w:rsidRDefault="00000000">
            <w:pPr>
              <w:pBdr>
                <w:top w:val="nil"/>
                <w:left w:val="nil"/>
                <w:bottom w:val="nil"/>
                <w:right w:val="nil"/>
                <w:between w:val="nil"/>
              </w:pBdr>
            </w:pPr>
            <w:r>
              <w:t>Operational Attribute</w:t>
            </w:r>
          </w:p>
        </w:tc>
        <w:tc>
          <w:tcPr>
            <w:tcW w:w="3120" w:type="dxa"/>
            <w:tcMar>
              <w:top w:w="0" w:type="dxa"/>
              <w:left w:w="0" w:type="dxa"/>
              <w:bottom w:w="0" w:type="dxa"/>
              <w:right w:w="0" w:type="dxa"/>
            </w:tcMar>
          </w:tcPr>
          <w:p w14:paraId="31498725" w14:textId="77777777" w:rsidR="00450CC3" w:rsidRDefault="00000000">
            <w:pPr>
              <w:pBdr>
                <w:top w:val="nil"/>
                <w:left w:val="nil"/>
                <w:bottom w:val="nil"/>
                <w:right w:val="nil"/>
                <w:between w:val="nil"/>
              </w:pBdr>
            </w:pPr>
            <w:r>
              <w:t>Manual Interim Mail Entry (IMDW)</w:t>
            </w:r>
          </w:p>
        </w:tc>
        <w:tc>
          <w:tcPr>
            <w:tcW w:w="3120" w:type="dxa"/>
            <w:tcMar>
              <w:top w:w="0" w:type="dxa"/>
              <w:left w:w="0" w:type="dxa"/>
              <w:bottom w:w="0" w:type="dxa"/>
              <w:right w:w="0" w:type="dxa"/>
            </w:tcMar>
          </w:tcPr>
          <w:p w14:paraId="6CD25F58" w14:textId="77777777" w:rsidR="00450CC3" w:rsidRDefault="00000000">
            <w:pPr>
              <w:pBdr>
                <w:top w:val="nil"/>
                <w:left w:val="nil"/>
                <w:bottom w:val="nil"/>
                <w:right w:val="nil"/>
                <w:between w:val="nil"/>
              </w:pBdr>
            </w:pPr>
            <w:r>
              <w:t>Automated Mail Entry (Entry Type 13 Test)</w:t>
            </w:r>
          </w:p>
        </w:tc>
      </w:tr>
      <w:tr w:rsidR="00450CC3" w14:paraId="554BB6CE" w14:textId="77777777">
        <w:tc>
          <w:tcPr>
            <w:tcW w:w="3120" w:type="dxa"/>
            <w:tcMar>
              <w:top w:w="0" w:type="dxa"/>
              <w:left w:w="0" w:type="dxa"/>
              <w:bottom w:w="0" w:type="dxa"/>
              <w:right w:w="0" w:type="dxa"/>
            </w:tcMar>
          </w:tcPr>
          <w:p w14:paraId="7782621D" w14:textId="77777777" w:rsidR="00450CC3" w:rsidRDefault="00000000">
            <w:pPr>
              <w:pBdr>
                <w:top w:val="nil"/>
                <w:left w:val="nil"/>
                <w:bottom w:val="nil"/>
                <w:right w:val="nil"/>
                <w:between w:val="nil"/>
              </w:pBdr>
              <w:rPr>
                <w:b/>
                <w:bCs/>
              </w:rPr>
            </w:pPr>
            <w:r>
              <w:rPr>
                <w:b/>
                <w:bCs/>
              </w:rPr>
              <w:t>Filing Interface</w:t>
            </w:r>
          </w:p>
        </w:tc>
        <w:tc>
          <w:tcPr>
            <w:tcW w:w="3120" w:type="dxa"/>
            <w:tcMar>
              <w:top w:w="0" w:type="dxa"/>
              <w:left w:w="0" w:type="dxa"/>
              <w:bottom w:w="0" w:type="dxa"/>
              <w:right w:w="0" w:type="dxa"/>
            </w:tcMar>
          </w:tcPr>
          <w:p w14:paraId="5FFADF2E" w14:textId="77777777" w:rsidR="00450CC3" w:rsidRDefault="00000000">
            <w:pPr>
              <w:pBdr>
                <w:top w:val="nil"/>
                <w:left w:val="nil"/>
                <w:bottom w:val="nil"/>
                <w:right w:val="nil"/>
                <w:between w:val="nil"/>
              </w:pBdr>
            </w:pPr>
            <w:r>
              <w:t>Email submission of Excel worksheet</w:t>
            </w:r>
          </w:p>
        </w:tc>
        <w:tc>
          <w:tcPr>
            <w:tcW w:w="3120" w:type="dxa"/>
            <w:tcMar>
              <w:top w:w="0" w:type="dxa"/>
              <w:left w:w="0" w:type="dxa"/>
              <w:bottom w:w="0" w:type="dxa"/>
              <w:right w:w="0" w:type="dxa"/>
            </w:tcMar>
          </w:tcPr>
          <w:p w14:paraId="3650D016" w14:textId="77777777" w:rsidR="00450CC3" w:rsidRDefault="00000000">
            <w:pPr>
              <w:pBdr>
                <w:top w:val="nil"/>
                <w:left w:val="nil"/>
                <w:bottom w:val="nil"/>
                <w:right w:val="nil"/>
                <w:between w:val="nil"/>
              </w:pBdr>
            </w:pPr>
            <w:r>
              <w:t>Electronic data transmission in ACE via CATAIR</w:t>
            </w:r>
          </w:p>
        </w:tc>
      </w:tr>
      <w:tr w:rsidR="00450CC3" w14:paraId="2C976464" w14:textId="77777777">
        <w:tc>
          <w:tcPr>
            <w:tcW w:w="3120" w:type="dxa"/>
            <w:tcMar>
              <w:top w:w="0" w:type="dxa"/>
              <w:left w:w="0" w:type="dxa"/>
              <w:bottom w:w="0" w:type="dxa"/>
              <w:right w:w="0" w:type="dxa"/>
            </w:tcMar>
          </w:tcPr>
          <w:p w14:paraId="54B0DC5E" w14:textId="77777777" w:rsidR="00450CC3" w:rsidRDefault="00000000">
            <w:pPr>
              <w:pBdr>
                <w:top w:val="nil"/>
                <w:left w:val="nil"/>
                <w:bottom w:val="nil"/>
                <w:right w:val="nil"/>
                <w:between w:val="nil"/>
              </w:pBdr>
              <w:rPr>
                <w:b/>
                <w:bCs/>
              </w:rPr>
            </w:pPr>
            <w:r>
              <w:rPr>
                <w:b/>
                <w:bCs/>
              </w:rPr>
              <w:t>Regulatory Scope</w:t>
            </w:r>
          </w:p>
        </w:tc>
        <w:tc>
          <w:tcPr>
            <w:tcW w:w="3120" w:type="dxa"/>
            <w:tcMar>
              <w:top w:w="0" w:type="dxa"/>
              <w:left w:w="0" w:type="dxa"/>
              <w:bottom w:w="0" w:type="dxa"/>
              <w:right w:w="0" w:type="dxa"/>
            </w:tcMar>
          </w:tcPr>
          <w:p w14:paraId="2002F2B1" w14:textId="77777777" w:rsidR="00450CC3" w:rsidRDefault="00000000">
            <w:pPr>
              <w:pBdr>
                <w:top w:val="nil"/>
                <w:left w:val="nil"/>
                <w:bottom w:val="nil"/>
                <w:right w:val="nil"/>
                <w:between w:val="nil"/>
              </w:pBdr>
            </w:pPr>
            <w:r>
              <w:t>Restricted to Chapters 1-97 HTSUS</w:t>
            </w:r>
          </w:p>
        </w:tc>
        <w:tc>
          <w:tcPr>
            <w:tcW w:w="3120" w:type="dxa"/>
            <w:tcMar>
              <w:top w:w="0" w:type="dxa"/>
              <w:left w:w="0" w:type="dxa"/>
              <w:bottom w:w="0" w:type="dxa"/>
              <w:right w:w="0" w:type="dxa"/>
            </w:tcMar>
          </w:tcPr>
          <w:p w14:paraId="2C254366" w14:textId="77777777" w:rsidR="00450CC3" w:rsidRDefault="00000000">
            <w:pPr>
              <w:pBdr>
                <w:top w:val="nil"/>
                <w:left w:val="nil"/>
                <w:bottom w:val="nil"/>
                <w:right w:val="nil"/>
                <w:between w:val="nil"/>
              </w:pBdr>
            </w:pPr>
            <w:r>
              <w:t>Permits Chapters 1-99 HTSUS under waiver</w:t>
            </w:r>
          </w:p>
        </w:tc>
      </w:tr>
      <w:tr w:rsidR="00450CC3" w14:paraId="32D882D4" w14:textId="77777777">
        <w:tc>
          <w:tcPr>
            <w:tcW w:w="3120" w:type="dxa"/>
            <w:tcMar>
              <w:top w:w="0" w:type="dxa"/>
              <w:left w:w="0" w:type="dxa"/>
              <w:bottom w:w="0" w:type="dxa"/>
              <w:right w:w="0" w:type="dxa"/>
            </w:tcMar>
          </w:tcPr>
          <w:p w14:paraId="46F31CFB" w14:textId="77777777" w:rsidR="00450CC3" w:rsidRDefault="00000000">
            <w:pPr>
              <w:pBdr>
                <w:top w:val="nil"/>
                <w:left w:val="nil"/>
                <w:bottom w:val="nil"/>
                <w:right w:val="nil"/>
                <w:between w:val="nil"/>
              </w:pBdr>
              <w:rPr>
                <w:b/>
                <w:bCs/>
              </w:rPr>
            </w:pPr>
            <w:r>
              <w:rPr>
                <w:b/>
                <w:bCs/>
              </w:rPr>
              <w:t>PGA Deliverables</w:t>
            </w:r>
          </w:p>
        </w:tc>
        <w:tc>
          <w:tcPr>
            <w:tcW w:w="3120" w:type="dxa"/>
            <w:tcMar>
              <w:top w:w="0" w:type="dxa"/>
              <w:left w:w="0" w:type="dxa"/>
              <w:bottom w:w="0" w:type="dxa"/>
              <w:right w:w="0" w:type="dxa"/>
            </w:tcMar>
          </w:tcPr>
          <w:p w14:paraId="77AB9C0D" w14:textId="77777777" w:rsidR="00450CC3" w:rsidRDefault="00000000">
            <w:pPr>
              <w:pBdr>
                <w:top w:val="nil"/>
                <w:left w:val="nil"/>
                <w:bottom w:val="nil"/>
                <w:right w:val="nil"/>
                <w:between w:val="nil"/>
              </w:pBdr>
            </w:pPr>
            <w:r>
              <w:t>Strictly barred after 120-day transition</w:t>
            </w:r>
          </w:p>
        </w:tc>
        <w:tc>
          <w:tcPr>
            <w:tcW w:w="3120" w:type="dxa"/>
            <w:tcMar>
              <w:top w:w="0" w:type="dxa"/>
              <w:left w:w="0" w:type="dxa"/>
              <w:bottom w:w="0" w:type="dxa"/>
              <w:right w:w="0" w:type="dxa"/>
            </w:tcMar>
          </w:tcPr>
          <w:p w14:paraId="0D8E9AE2" w14:textId="77777777" w:rsidR="00450CC3" w:rsidRDefault="00000000">
            <w:pPr>
              <w:pBdr>
                <w:top w:val="nil"/>
                <w:left w:val="nil"/>
                <w:bottom w:val="nil"/>
                <w:right w:val="nil"/>
                <w:between w:val="nil"/>
              </w:pBdr>
            </w:pPr>
            <w:r>
              <w:t>Permitted under informal entry via regulatory waiver</w:t>
            </w:r>
          </w:p>
        </w:tc>
      </w:tr>
      <w:tr w:rsidR="00450CC3" w14:paraId="1A3FDCD7" w14:textId="77777777">
        <w:tc>
          <w:tcPr>
            <w:tcW w:w="3120" w:type="dxa"/>
            <w:tcMar>
              <w:top w:w="0" w:type="dxa"/>
              <w:left w:w="0" w:type="dxa"/>
              <w:bottom w:w="0" w:type="dxa"/>
              <w:right w:w="0" w:type="dxa"/>
            </w:tcMar>
          </w:tcPr>
          <w:p w14:paraId="371FD7BB" w14:textId="77777777" w:rsidR="00450CC3" w:rsidRDefault="00000000">
            <w:pPr>
              <w:pBdr>
                <w:top w:val="nil"/>
                <w:left w:val="nil"/>
                <w:bottom w:val="nil"/>
                <w:right w:val="nil"/>
                <w:between w:val="nil"/>
              </w:pBdr>
              <w:rPr>
                <w:b/>
                <w:bCs/>
              </w:rPr>
            </w:pPr>
            <w:r>
              <w:rPr>
                <w:b/>
                <w:bCs/>
              </w:rPr>
              <w:t>Bonding</w:t>
            </w:r>
          </w:p>
        </w:tc>
        <w:tc>
          <w:tcPr>
            <w:tcW w:w="3120" w:type="dxa"/>
            <w:tcMar>
              <w:top w:w="0" w:type="dxa"/>
              <w:left w:w="0" w:type="dxa"/>
              <w:bottom w:w="0" w:type="dxa"/>
              <w:right w:w="0" w:type="dxa"/>
            </w:tcMar>
          </w:tcPr>
          <w:p w14:paraId="5BA3FD2B" w14:textId="77777777" w:rsidR="00450CC3" w:rsidRDefault="00000000">
            <w:pPr>
              <w:pBdr>
                <w:top w:val="nil"/>
                <w:left w:val="nil"/>
                <w:bottom w:val="nil"/>
                <w:right w:val="nil"/>
                <w:between w:val="nil"/>
              </w:pBdr>
            </w:pPr>
            <w:r>
              <w:t>Continuous or Single Transaction Bond (19 CFR 113.62)</w:t>
            </w:r>
          </w:p>
        </w:tc>
        <w:tc>
          <w:tcPr>
            <w:tcW w:w="3120" w:type="dxa"/>
            <w:tcMar>
              <w:top w:w="0" w:type="dxa"/>
              <w:left w:w="0" w:type="dxa"/>
              <w:bottom w:w="0" w:type="dxa"/>
              <w:right w:w="0" w:type="dxa"/>
            </w:tcMar>
          </w:tcPr>
          <w:p w14:paraId="3D344B77" w14:textId="77777777" w:rsidR="00450CC3" w:rsidRDefault="00000000">
            <w:pPr>
              <w:pBdr>
                <w:top w:val="nil"/>
                <w:left w:val="nil"/>
                <w:bottom w:val="nil"/>
                <w:right w:val="nil"/>
                <w:between w:val="nil"/>
              </w:pBdr>
            </w:pPr>
            <w:r>
              <w:t>Continuous or Single Transaction Bond (19 CFR 113.62)</w:t>
            </w:r>
          </w:p>
        </w:tc>
      </w:tr>
      <w:tr w:rsidR="00450CC3" w14:paraId="4E0D6A86" w14:textId="77777777">
        <w:tc>
          <w:tcPr>
            <w:tcW w:w="3120" w:type="dxa"/>
            <w:tcMar>
              <w:top w:w="0" w:type="dxa"/>
              <w:left w:w="0" w:type="dxa"/>
              <w:bottom w:w="0" w:type="dxa"/>
              <w:right w:w="0" w:type="dxa"/>
            </w:tcMar>
          </w:tcPr>
          <w:p w14:paraId="1F07D7F5" w14:textId="77777777" w:rsidR="00450CC3" w:rsidRDefault="00000000">
            <w:pPr>
              <w:pBdr>
                <w:top w:val="nil"/>
                <w:left w:val="nil"/>
                <w:bottom w:val="nil"/>
                <w:right w:val="nil"/>
                <w:between w:val="nil"/>
              </w:pBdr>
              <w:rPr>
                <w:b/>
                <w:bCs/>
              </w:rPr>
            </w:pPr>
            <w:r>
              <w:rPr>
                <w:b/>
                <w:bCs/>
              </w:rPr>
              <w:t>Carrier Integration</w:t>
            </w:r>
          </w:p>
        </w:tc>
        <w:tc>
          <w:tcPr>
            <w:tcW w:w="3120" w:type="dxa"/>
            <w:tcMar>
              <w:top w:w="0" w:type="dxa"/>
              <w:left w:w="0" w:type="dxa"/>
              <w:bottom w:w="0" w:type="dxa"/>
              <w:right w:w="0" w:type="dxa"/>
            </w:tcMar>
          </w:tcPr>
          <w:p w14:paraId="0AF4A028" w14:textId="77777777" w:rsidR="00450CC3" w:rsidRDefault="00000000">
            <w:pPr>
              <w:pBdr>
                <w:top w:val="nil"/>
                <w:left w:val="nil"/>
                <w:bottom w:val="nil"/>
                <w:right w:val="nil"/>
                <w:between w:val="nil"/>
              </w:pBdr>
            </w:pPr>
            <w:r>
              <w:t>Independent tracking number reporting</w:t>
            </w:r>
          </w:p>
        </w:tc>
        <w:tc>
          <w:tcPr>
            <w:tcW w:w="3120" w:type="dxa"/>
            <w:tcMar>
              <w:top w:w="0" w:type="dxa"/>
              <w:left w:w="0" w:type="dxa"/>
              <w:bottom w:w="0" w:type="dxa"/>
              <w:right w:w="0" w:type="dxa"/>
            </w:tcMar>
          </w:tcPr>
          <w:p w14:paraId="65B0E350" w14:textId="77777777" w:rsidR="00450CC3" w:rsidRDefault="00000000">
            <w:pPr>
              <w:pBdr>
                <w:top w:val="nil"/>
                <w:left w:val="nil"/>
                <w:bottom w:val="nil"/>
                <w:right w:val="nil"/>
                <w:between w:val="nil"/>
              </w:pBdr>
            </w:pPr>
            <w:r>
              <w:t>Mandatory carrier manifest matching of tracking numbers</w:t>
            </w:r>
          </w:p>
        </w:tc>
      </w:tr>
      <w:tr w:rsidR="00450CC3" w14:paraId="6FED181D" w14:textId="77777777">
        <w:tc>
          <w:tcPr>
            <w:tcW w:w="3120" w:type="dxa"/>
            <w:tcMar>
              <w:top w:w="0" w:type="dxa"/>
              <w:left w:w="0" w:type="dxa"/>
              <w:bottom w:w="0" w:type="dxa"/>
              <w:right w:w="0" w:type="dxa"/>
            </w:tcMar>
          </w:tcPr>
          <w:p w14:paraId="73BC772F" w14:textId="77777777" w:rsidR="00450CC3" w:rsidRDefault="00000000">
            <w:pPr>
              <w:pBdr>
                <w:top w:val="nil"/>
                <w:left w:val="nil"/>
                <w:bottom w:val="nil"/>
                <w:right w:val="nil"/>
                <w:between w:val="nil"/>
              </w:pBdr>
              <w:rPr>
                <w:b/>
                <w:bCs/>
              </w:rPr>
            </w:pPr>
            <w:r>
              <w:rPr>
                <w:b/>
                <w:bCs/>
              </w:rPr>
              <w:t>Filing Deadline</w:t>
            </w:r>
          </w:p>
        </w:tc>
        <w:tc>
          <w:tcPr>
            <w:tcW w:w="3120" w:type="dxa"/>
            <w:tcMar>
              <w:top w:w="0" w:type="dxa"/>
              <w:left w:w="0" w:type="dxa"/>
              <w:bottom w:w="0" w:type="dxa"/>
              <w:right w:w="0" w:type="dxa"/>
            </w:tcMar>
          </w:tcPr>
          <w:p w14:paraId="2035447B" w14:textId="77777777" w:rsidR="00450CC3" w:rsidRDefault="00000000">
            <w:pPr>
              <w:pBdr>
                <w:top w:val="nil"/>
                <w:left w:val="nil"/>
                <w:bottom w:val="nil"/>
                <w:right w:val="nil"/>
                <w:between w:val="nil"/>
              </w:pBdr>
            </w:pPr>
            <w:r>
              <w:t>Monthly, by the 7th day of the following month</w:t>
            </w:r>
          </w:p>
        </w:tc>
        <w:tc>
          <w:tcPr>
            <w:tcW w:w="3120" w:type="dxa"/>
            <w:tcMar>
              <w:top w:w="0" w:type="dxa"/>
              <w:left w:w="0" w:type="dxa"/>
              <w:bottom w:w="0" w:type="dxa"/>
              <w:right w:w="0" w:type="dxa"/>
            </w:tcMar>
          </w:tcPr>
          <w:p w14:paraId="3690E6A5" w14:textId="77777777" w:rsidR="00450CC3" w:rsidRDefault="00000000">
            <w:pPr>
              <w:pBdr>
                <w:top w:val="nil"/>
                <w:left w:val="nil"/>
                <w:bottom w:val="nil"/>
                <w:right w:val="nil"/>
                <w:between w:val="nil"/>
              </w:pBdr>
            </w:pPr>
            <w:r>
              <w:t>Prior to CBP release</w:t>
            </w:r>
          </w:p>
        </w:tc>
      </w:tr>
    </w:tbl>
    <w:p w14:paraId="75C2F802" w14:textId="77777777" w:rsidR="00450CC3" w:rsidRDefault="00450CC3">
      <w:pPr>
        <w:pStyle w:val="Heading2"/>
      </w:pPr>
    </w:p>
    <w:p w14:paraId="53B15F15" w14:textId="77777777" w:rsidR="00450CC3" w:rsidRDefault="00000000">
      <w:pPr>
        <w:pStyle w:val="Heading2"/>
      </w:pPr>
      <w:r>
        <w:t>Strategic Implications and Future Outlook for Global Supply Chains</w:t>
      </w:r>
    </w:p>
    <w:p w14:paraId="56999A4B" w14:textId="77777777" w:rsidR="00450CC3" w:rsidRDefault="00000000">
      <w:pPr>
        <w:pBdr>
          <w:top w:val="nil"/>
          <w:left w:val="nil"/>
          <w:bottom w:val="nil"/>
          <w:right w:val="nil"/>
          <w:between w:val="nil"/>
        </w:pBdr>
      </w:pPr>
      <w:r>
        <w:t>The complete sunset of the de minimis exemption, paired with the structural vetting mandated by Executive Order 14411, introduces significant disruptions to global supply chains, e-commerce retail networks, and logistics infrastructures. For over a decade, direct-to-consumer e-commerce platforms engineered their logistics networks around the $800 de minimis threshold, bypassing traditional import tariffs and structural barriers. With the elimination of de minimis, standard U.S. tariffs apply directly to all low-value items, which increases landed costs and creates financial pressure for low-margin retail sectors.</w:t>
      </w:r>
    </w:p>
    <w:p w14:paraId="5DC11E23" w14:textId="77777777" w:rsidR="00450CC3" w:rsidRDefault="00450CC3">
      <w:pPr>
        <w:pBdr>
          <w:top w:val="nil"/>
          <w:left w:val="nil"/>
          <w:bottom w:val="nil"/>
          <w:right w:val="nil"/>
          <w:between w:val="nil"/>
        </w:pBdr>
      </w:pPr>
    </w:p>
    <w:p w14:paraId="54AE1E53" w14:textId="77777777" w:rsidR="00450CC3" w:rsidRDefault="00000000">
      <w:pPr>
        <w:pBdr>
          <w:top w:val="nil"/>
          <w:left w:val="nil"/>
          <w:bottom w:val="nil"/>
          <w:right w:val="nil"/>
          <w:between w:val="nil"/>
        </w:pBdr>
      </w:pPr>
      <w:r>
        <w:t>Following the initial Chinese de minimis suspension, several major e-commerce platforms saw their U.S. gross merchandise value (GMV) drop to less than 30 percent of their early-2025 volumes. In response, e-commerce platforms are restructuring their logistics strategies. Rather than shipping individual parcels directly from foreign factories, merchants are shifting to bulk importation models. Under this strategy, inventory is shipped in bulk container volumes, cleared through customs once under formal Entry Type 01, and transferred to U.S.-based Third-Party Logistics (3PL) providers for domestic fulfillment. This method consolidates the fixed costs of customs bonds, brokerage fees, and processing charges across thousands of units, reducing the transaction cost per item.</w:t>
      </w:r>
    </w:p>
    <w:p w14:paraId="36CE286D" w14:textId="77777777" w:rsidR="00450CC3" w:rsidRDefault="00450CC3">
      <w:pPr>
        <w:pBdr>
          <w:top w:val="nil"/>
          <w:left w:val="nil"/>
          <w:bottom w:val="nil"/>
          <w:right w:val="nil"/>
          <w:between w:val="nil"/>
        </w:pBdr>
      </w:pPr>
    </w:p>
    <w:p w14:paraId="1DF1A202" w14:textId="77777777" w:rsidR="00450CC3" w:rsidRDefault="00000000">
      <w:pPr>
        <w:pBdr>
          <w:top w:val="nil"/>
          <w:left w:val="nil"/>
          <w:bottom w:val="nil"/>
          <w:right w:val="nil"/>
          <w:between w:val="nil"/>
        </w:pBdr>
      </w:pPr>
      <w:r>
        <w:t>Customs brokers face increased demand alongside heightened compliance risk. Under Executive Order 14411, CBP is directed to enforce strict civil penalties against brokers who fail to conduct proper due diligence, repeatedly represent noncompliant clients, or fail to cooperate with agency investigations. This liability structure forces brokerage firms to implement rigorous client onboarding protocols, beneficial ownership disclosures, and automated trade management software to manage classification and validation without causing port backlogs.</w:t>
      </w:r>
    </w:p>
    <w:p w14:paraId="59E0FA58" w14:textId="77777777" w:rsidR="00450CC3" w:rsidRDefault="00000000">
      <w:pPr>
        <w:pBdr>
          <w:top w:val="nil"/>
          <w:left w:val="nil"/>
          <w:bottom w:val="nil"/>
          <w:right w:val="nil"/>
          <w:between w:val="nil"/>
        </w:pBdr>
      </w:pPr>
      <w:r>
        <w:lastRenderedPageBreak/>
        <w:t>The requirement to submit informal or formal entries for every package previously entered under Section 321 has redirected millions of shipments daily into the commercial entry filing system. This volume has created administrative pressure for licensed customs brokers and port-of-entry operations. Foreign-based small exporters face severe competitive disadvantages, leading many to shift operations to nearshore markets, such as Mexico or Canada, or establish local fulfillment operations. These strategic shifts are summarized in the historical timeline of the de minimis phase-out:</w:t>
      </w:r>
    </w:p>
    <w:p w14:paraId="26F0F715" w14:textId="77777777" w:rsidR="00450CC3" w:rsidRDefault="00450CC3">
      <w:pPr>
        <w:pBdr>
          <w:top w:val="nil"/>
          <w:left w:val="nil"/>
          <w:bottom w:val="nil"/>
          <w:right w:val="nil"/>
          <w:between w:val="nil"/>
        </w:pBdr>
      </w:pPr>
    </w:p>
    <w:p w14:paraId="0543B6CD" w14:textId="77777777" w:rsidR="00450CC3" w:rsidRDefault="00000000">
      <w:pPr>
        <w:pBdr>
          <w:top w:val="nil"/>
          <w:left w:val="nil"/>
          <w:bottom w:val="nil"/>
          <w:right w:val="nil"/>
          <w:between w:val="nil"/>
        </w:pBdr>
      </w:pPr>
      <w:r>
        <w:t xml:space="preserve">  2025: OBBBA Enacted / EO 14324 Suspends De Minimis</w:t>
      </w:r>
      <w:r>
        <w:br/>
        <w:t xml:space="preserve">  │</w:t>
      </w:r>
      <w:r>
        <w:br/>
        <w:t xml:space="preserve">  ├──► May 2, 2025: China &amp; Hong Kong De Minimis Suspended</w:t>
      </w:r>
      <w:r>
        <w:br/>
        <w:t xml:space="preserve">  │</w:t>
      </w:r>
      <w:r>
        <w:br/>
        <w:t xml:space="preserve">  └──► August 29, 2025: Universal De Minimis Suspension</w:t>
      </w:r>
      <w:r>
        <w:br/>
        <w:t xml:space="preserve">  </w:t>
      </w:r>
      <w:r>
        <w:br/>
        <w:t xml:space="preserve">  2026: IEEPA Tariff Invalidation / Section 122 Interim / CBP Codification</w:t>
      </w:r>
      <w:r>
        <w:br/>
        <w:t xml:space="preserve">  │</w:t>
      </w:r>
      <w:r>
        <w:br/>
        <w:t xml:space="preserve">  ├──► February 20, 2026: Supreme Court Invalidates IEEPA Tariffs</w:t>
      </w:r>
      <w:r>
        <w:br/>
        <w:t xml:space="preserve">  │</w:t>
      </w:r>
      <w:r>
        <w:br/>
        <w:t xml:space="preserve">  ├──► February 24, 2026: 15% Section 122 Surcharge Implemented</w:t>
      </w:r>
      <w:r>
        <w:br/>
        <w:t xml:space="preserve">  │</w:t>
      </w:r>
      <w:r>
        <w:br/>
        <w:t xml:space="preserve">  ├──► June 3, 2026: EO 14411 "Strengthening Customs Enforcement" Signed</w:t>
      </w:r>
      <w:r>
        <w:br/>
        <w:t xml:space="preserve">  │</w:t>
      </w:r>
      <w:r>
        <w:br/>
        <w:t xml:space="preserve">  ├──► June 24, 2026: CBP Issues Concurrent Postal &amp; Non-Postal IFRs</w:t>
      </w:r>
      <w:r>
        <w:br/>
        <w:t xml:space="preserve">  │</w:t>
      </w:r>
      <w:r>
        <w:br/>
        <w:t xml:space="preserve">  ├──► July 24, 2026: Section 122 Surcharge Expires; Postal IFR Takes Effect</w:t>
      </w:r>
      <w:r>
        <w:br/>
        <w:t xml:space="preserve">  │</w:t>
      </w:r>
      <w:r>
        <w:br/>
        <w:t xml:space="preserve">  ├──► September 22, 2026: ACE Entry Type 13 Test Officially Commences</w:t>
      </w:r>
      <w:r>
        <w:br/>
        <w:t xml:space="preserve">  │</w:t>
      </w:r>
      <w:r>
        <w:br/>
        <w:t xml:space="preserve">  └──► October 22, 2026: 120-Day Postal Compliance Transition Expires</w:t>
      </w:r>
      <w:r>
        <w:br/>
        <w:t xml:space="preserve">  </w:t>
      </w:r>
      <w:r>
        <w:br/>
        <w:t xml:space="preserve">  2027: Statutory Sunset</w:t>
      </w:r>
      <w:r>
        <w:br/>
        <w:t xml:space="preserve">  │</w:t>
      </w:r>
      <w:r>
        <w:br/>
        <w:t xml:space="preserve">  └──► July 1, 2027: Permanent Statutory Elimination of De Minimis (P.L. 119-21)</w:t>
      </w:r>
      <w:r>
        <w:br/>
      </w:r>
    </w:p>
    <w:p w14:paraId="11C8859B" w14:textId="77777777" w:rsidR="00450CC3" w:rsidRDefault="00000000">
      <w:pPr>
        <w:pBdr>
          <w:top w:val="nil"/>
          <w:left w:val="nil"/>
          <w:bottom w:val="nil"/>
          <w:right w:val="nil"/>
          <w:between w:val="nil"/>
        </w:pBdr>
        <w:spacing w:after="255"/>
      </w:pPr>
      <w:r>
        <w:t>At the consumer level, the elimination of de minimis has inflationary implications. Analysts project that tariff-related costs and brokerage overhead are passed directly to retail pricing, which could cost U.S. households more than $10.9 billion annually. Low-income demographics, who rely on affordable DTC imported goods, are disproportionately affected. Furthermore, port-of-entry backlogs have extended package delivery windows from several days to multiple weeks, shifting consumer expectations from fast delivery to shipping transparency and delivery reliability. Importers and logistics networks must transition toward structured, automated, and U.S.-localized fulfillment models to maintain operational compliance and commercial viability.</w:t>
      </w:r>
    </w:p>
    <w:p w14:paraId="54BA4873" w14:textId="77777777" w:rsidR="00450CC3" w:rsidRDefault="00450CC3">
      <w:pPr>
        <w:pStyle w:val="Heading4"/>
        <w:spacing w:before="0"/>
      </w:pPr>
    </w:p>
    <w:p w14:paraId="097A4603" w14:textId="77777777" w:rsidR="00450CC3" w:rsidRDefault="00000000">
      <w:pPr>
        <w:pStyle w:val="Heading4"/>
        <w:spacing w:before="0"/>
      </w:pPr>
      <w:r>
        <w:t>Works cited</w:t>
      </w:r>
    </w:p>
    <w:p w14:paraId="32DC9996" w14:textId="77777777" w:rsidR="00450CC3" w:rsidRDefault="00000000">
      <w:pPr>
        <w:pBdr>
          <w:top w:val="nil"/>
          <w:left w:val="nil"/>
          <w:bottom w:val="nil"/>
          <w:right w:val="nil"/>
          <w:between w:val="nil"/>
        </w:pBdr>
      </w:pPr>
      <w:r>
        <w:t xml:space="preserve">1. What the End of the De Minimis Exemption Means for U.S. Sellers | Thrive 3PL Blog, https://thrive3pl.com/blog/de-minimis-loophole-is-dead/ 2. De Minimis Tariff in 2026 for US Importers - Gaia Dynamics, https://www.gaiadynamics.ai/blog/de-minimis-tariff-in-2025-what-u-s-importers-brokers-and-small-businesses-need-to-know 3. De minimis exemptions are ending: </w:t>
      </w:r>
      <w:r>
        <w:lastRenderedPageBreak/>
        <w:t xml:space="preserve">Is your business ready? - Avalara, https://www.avalara.com/blog/en/north-america/2024/11/de-minimis-exemption-changes-coming.html 4. Customs De Minimis Ending In 2027 – Big Beautiful Bill Impact Analysis </w:t>
      </w:r>
      <w:proofErr w:type="gramStart"/>
      <w:r>
        <w:t>For</w:t>
      </w:r>
      <w:proofErr w:type="gramEnd"/>
      <w:r>
        <w:t xml:space="preserve"> Supply Chains, https://www.beneschlaw.com/insight/customs-de-minimis-ending-in-2027-big-beautiful-bill-impact-analysis-for-supply-chains/ 5. EXECUTIVE ORDER 14411 - - - - - - - STRENGTHENING CUSTOMS ENFORCEMENT By the authority vested in me as President by the </w:t>
      </w:r>
      <w:proofErr w:type="spellStart"/>
      <w:r>
        <w:t>Constitu</w:t>
      </w:r>
      <w:proofErr w:type="spellEnd"/>
      <w:r>
        <w:t xml:space="preserve"> - Federal Register, https://public-inspection.federalregister.gov/2026-11595.pdf 6. U.S. tariffs in mid-2026: Key developments, current framework, and what importers should expect | Insights | Elliott Davis, https://www.elliottdavis.com/insights/u-s-tariffs-in-mid-2026-key-developments-current-framework-and-what-importers-should-expect 7. THE VIGILANT VIGIL – 17TH EDITION - Vigilant GTS, https://vigilantgts.com/the-vigilant-vigil-17th-edition/ 8. U.S. Tariffs Overhauled February 2026: What Ecommerce Sellers Must Know Right Now, https://www.efulfillmentservice.com/2026/02/u-s-tariffs-overhauled-february-2026-what-ecommerce-sellers-must-know-right-now/ 9. CBP Issues Interim Final Rules Indefinitely Suspending the De Minimis Exemption for Imports - </w:t>
      </w:r>
      <w:proofErr w:type="spellStart"/>
      <w:r>
        <w:t>SmarTrade</w:t>
      </w:r>
      <w:proofErr w:type="spellEnd"/>
      <w:r>
        <w:t xml:space="preserve"> | Thompson Hine, https://www.thompsonhinesmartrade.com/2026/06/cbp-issues-interim-final-rules-indefinitely-suspending-the-de-minimis-exemption-for-imports/ 10. Freight Market and Customs Updates for Importers - Southern Star Navigation – Global Logistics Insights, https://southernstarnavigation.com/freight-market-customs-updates-importers/ 11. Indefinite Suspension of the De Minimis Exemption for Merchandise Arriving Through All Modes Other Than the International Postal Network - Federal Register, https://www.federalregister.gov/documents/2026/06/24/2026-12670/indefinite-suspension-of-the-de-minimis-exemption-for-merchandise-arriving-through-all-modes-other 12. Notice of Implementation of the President's Executive Order 14324, Suspending Duty-Free De Minimis Treatment for All Countries - Federal Register, https://www.federalregister.gov/documents/2025/09/02/2025-16802/notice-of-implementation-of-the-presidents-executive-order-14324-suspending-duty-free-de-minimis 13. Tariff Deep Dive: Customs Calculation </w:t>
      </w:r>
      <w:proofErr w:type="gramStart"/>
      <w:r>
        <w:t>Of</w:t>
      </w:r>
      <w:proofErr w:type="gramEnd"/>
      <w:r>
        <w:t xml:space="preserve"> New Duties </w:t>
      </w:r>
      <w:proofErr w:type="gramStart"/>
      <w:r>
        <w:t>And</w:t>
      </w:r>
      <w:proofErr w:type="gramEnd"/>
      <w:r>
        <w:t xml:space="preserve"> Fees </w:t>
      </w:r>
      <w:proofErr w:type="gramStart"/>
      <w:r>
        <w:t>For</w:t>
      </w:r>
      <w:proofErr w:type="gramEnd"/>
      <w:r>
        <w:t xml:space="preserve"> Shipments Not Eligible For De Minimis Entry - </w:t>
      </w:r>
      <w:proofErr w:type="spellStart"/>
      <w:r>
        <w:t>FlavorCloud</w:t>
      </w:r>
      <w:proofErr w:type="spellEnd"/>
      <w:r>
        <w:t xml:space="preserve">, https://flavorcloud.com/blog/customs-calculation-of-new-duties-and-fees 14. U.S. Ends De Minimis Exemption (GHY </w:t>
      </w:r>
      <w:proofErr w:type="spellStart"/>
      <w:r>
        <w:t>eBiz</w:t>
      </w:r>
      <w:proofErr w:type="spellEnd"/>
      <w:r>
        <w:t xml:space="preserve"> Added as a Qualified Party), https://www.ghy.com/trade-compliance/us-to-end-de-minimis-exemption-for-low-value-imports-on-august-29/ 15. Current Tariff Announcements Under Trump Administration - USA Customs Clearance, https://usacustomsclearance.com/import-tariffs-updates/ 16. Strengthening Customs Enforcement - The White House, https://www.whitehouse.gov/presidential-actions/2026/06/strengthening-customs-enforcement/ 17. Indefinite Suspension of the De Minimis Exemption for Mail Shipments and New Postal Informal Entry Process - Federal Register, https://www.federalregister.gov/documents/2026/06/24/2026-12669/indefinite-suspension-of-the-de-minimis-exemption-for-mail-shipments-and-new-postal-informal-entry 18. CBP Announces New Rules for Low-Value International Mail Shipments, https://www.allynintl.com/en/news-publications/entry/cbp-announces-new-rules-for-low-value-international-mail-shipments 19. Guidance for Carriers of International Mail - GovDelivery, https://content.govdelivery.com/attachments/USDHSCBP/2025/05/01/file_attachments/3248317/Mail%20Carriers%20Compliance%20Guidance%20-%20Updated%204.28.25.pdf 20. Test of the New Electronic Informal Entry Process for Mail - Federal Register, https://www.federalregister.gov/documents/2026/06/24/2026-12668/test-of-the-new-electronic-informal-entry-process-for-mail 21. The De Minimis Dilemma: What U.S. Policy Changes Mean for Global E-Commerce, https://carriyo.com/resources/blog/the-de-minimis-dilemma-u.s.-policy-changes-for-ecommerce/ 22. De minimis disrupted: Managing shifts in duty exemptions | McKinsey, https://www.mckinsey.com/capabilities/geopolitics/our-insights/de-minimis-disrupted-managing-shifts-in-duty-exemptions 23. What Is CBP Entry Type 11 | Descartes, https://www.descartes.com/resources/knowledge-center/what-is-cbp-entry-type-11</w:t>
      </w:r>
    </w:p>
    <w:sectPr w:rsidR="00450CC3">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7C7D" w14:textId="77777777" w:rsidR="00703278" w:rsidRDefault="00703278" w:rsidP="008D3EC6">
      <w:r>
        <w:separator/>
      </w:r>
    </w:p>
  </w:endnote>
  <w:endnote w:type="continuationSeparator" w:id="0">
    <w:p w14:paraId="008BA9DD" w14:textId="77777777" w:rsidR="00703278" w:rsidRDefault="00703278" w:rsidP="008D3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08EA097-0577-3847-85C6-34CF73482A39}"/>
    <w:embedBold r:id="rId2" w:fontKey="{25A1E63E-267E-5541-8511-B954CD5589E1}"/>
    <w:embedItalic r:id="rId3" w:fontKey="{E8CC3B37-3B99-524C-8428-A119CBD677A8}"/>
  </w:font>
  <w:font w:name="Times New Roman">
    <w:panose1 w:val="02020603050405020304"/>
    <w:charset w:val="00"/>
    <w:family w:val="roman"/>
    <w:pitch w:val="variable"/>
    <w:sig w:usb0="E0002EFF" w:usb1="C000785B" w:usb2="00000009" w:usb3="00000000" w:csb0="000001FF" w:csb1="00000000"/>
    <w:embedRegular r:id="rId4" w:fontKey="{227FCCFC-3C16-3542-877A-C486E0AE750B}"/>
  </w:font>
  <w:font w:name="Georgia">
    <w:panose1 w:val="02040502050405020303"/>
    <w:charset w:val="00"/>
    <w:family w:val="roman"/>
    <w:pitch w:val="variable"/>
    <w:sig w:usb0="00000287" w:usb1="00000000" w:usb2="00000000" w:usb3="00000000" w:csb0="0000009F" w:csb1="00000000"/>
    <w:embedItalic r:id="rId5" w:fontKey="{33312369-B64A-DA48-9C39-71E771F977D3}"/>
  </w:font>
  <w:font w:name="Calibri">
    <w:panose1 w:val="020F0502020204030204"/>
    <w:charset w:val="00"/>
    <w:family w:val="swiss"/>
    <w:pitch w:val="variable"/>
    <w:sig w:usb0="E4002EFF" w:usb1="C200247B" w:usb2="00000009" w:usb3="00000000" w:csb0="000001FF" w:csb1="00000000"/>
    <w:embedRegular r:id="rId6" w:fontKey="{D2697342-3B58-1744-9423-048A3115BC4C}"/>
  </w:font>
  <w:font w:name="Cambria">
    <w:panose1 w:val="02040503050406030204"/>
    <w:charset w:val="00"/>
    <w:family w:val="roman"/>
    <w:pitch w:val="variable"/>
    <w:sig w:usb0="E00006FF" w:usb1="420024FF" w:usb2="02000000" w:usb3="00000000" w:csb0="0000019F" w:csb1="00000000"/>
    <w:embedRegular r:id="rId7" w:fontKey="{B69FABF9-6488-0E48-8E49-DBC024E313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D385" w14:textId="1B21BF85" w:rsidR="008D3EC6" w:rsidRPr="008D3EC6" w:rsidRDefault="008D3EC6">
    <w:pPr>
      <w:pStyle w:val="Footer"/>
      <w:rPr>
        <w:sz w:val="16"/>
      </w:rPr>
    </w:pPr>
    <w:r w:rsidRPr="008D3EC6">
      <w:rPr>
        <w:sz w:val="16"/>
      </w:rPr>
      <w:t xml:space="preserve">© 2026 </w:t>
    </w:r>
    <w:proofErr w:type="spellStart"/>
    <w:r w:rsidRPr="008D3EC6">
      <w:rPr>
        <w:sz w:val="16"/>
      </w:rPr>
      <w:t>BoxC</w:t>
    </w:r>
    <w:proofErr w:type="spellEnd"/>
    <w:r w:rsidRPr="008D3EC6">
      <w:rPr>
        <w:sz w:val="16"/>
      </w:rPr>
      <w:t xml:space="preserve"> Logistics, Inc. All Rights Reserved.</w:t>
    </w:r>
    <w:r w:rsidRPr="008D3EC6">
      <w:rPr>
        <w:sz w:val="16"/>
      </w:rPr>
      <w:t xml:space="preserve">                                             </w:t>
    </w:r>
    <w:r w:rsidRPr="008D3EC6">
      <w:rPr>
        <w:sz w:val="16"/>
      </w:rPr>
      <w:t>boxc.com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4869" w14:textId="77777777" w:rsidR="00703278" w:rsidRDefault="00703278" w:rsidP="008D3EC6">
      <w:r>
        <w:separator/>
      </w:r>
    </w:p>
  </w:footnote>
  <w:footnote w:type="continuationSeparator" w:id="0">
    <w:p w14:paraId="22F58D05" w14:textId="77777777" w:rsidR="00703278" w:rsidRDefault="00703278" w:rsidP="008D3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22BA"/>
    <w:multiLevelType w:val="multilevel"/>
    <w:tmpl w:val="CA5EFF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98347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CC3"/>
    <w:rsid w:val="00450CC3"/>
    <w:rsid w:val="00703278"/>
    <w:rsid w:val="008D3EC6"/>
    <w:rsid w:val="00F47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84DCD"/>
  <w15:docId w15:val="{8362EFE1-99B4-AA41-BA3A-2E2FFDAA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8D3EC6"/>
    <w:pPr>
      <w:tabs>
        <w:tab w:val="center" w:pos="4680"/>
        <w:tab w:val="right" w:pos="9360"/>
      </w:tabs>
    </w:pPr>
  </w:style>
  <w:style w:type="character" w:customStyle="1" w:styleId="HeaderChar">
    <w:name w:val="Header Char"/>
    <w:basedOn w:val="DefaultParagraphFont"/>
    <w:link w:val="Header"/>
    <w:uiPriority w:val="99"/>
    <w:rsid w:val="008D3EC6"/>
  </w:style>
  <w:style w:type="paragraph" w:styleId="Footer">
    <w:name w:val="footer"/>
    <w:basedOn w:val="Normal"/>
    <w:link w:val="FooterChar"/>
    <w:uiPriority w:val="99"/>
    <w:unhideWhenUsed/>
    <w:rsid w:val="008D3EC6"/>
    <w:pPr>
      <w:tabs>
        <w:tab w:val="center" w:pos="4680"/>
        <w:tab w:val="right" w:pos="9360"/>
      </w:tabs>
    </w:pPr>
  </w:style>
  <w:style w:type="character" w:customStyle="1" w:styleId="FooterChar">
    <w:name w:val="Footer Char"/>
    <w:basedOn w:val="DefaultParagraphFont"/>
    <w:link w:val="Footer"/>
    <w:uiPriority w:val="99"/>
    <w:rsid w:val="008D3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3262</Words>
  <Characters>18600</Characters>
  <Application>Microsoft Office Word</Application>
  <DocSecurity>0</DocSecurity>
  <Lines>155</Lines>
  <Paragraphs>43</Paragraphs>
  <ScaleCrop>false</ScaleCrop>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Chad Schofield</cp:lastModifiedBy>
  <cp:revision>2</cp:revision>
  <dcterms:created xsi:type="dcterms:W3CDTF">2026-07-03T19:22:00Z</dcterms:created>
  <dcterms:modified xsi:type="dcterms:W3CDTF">2026-07-03T19:27:00Z</dcterms:modified>
</cp:coreProperties>
</file>