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Tiffany Timbric</w:t>
      </w:r>
      <w:r>
        <w:rPr>
          <w:rStyle w:val="None"/>
          <w:rFonts w:cs="Times New Roman" w:ascii="Times New Roman" w:hAnsi="Times New Roman"/>
          <w:em w:val="none"/>
          <w:lang w:val="en-US"/>
        </w:rPr>
        <w:t>, Software Developer</w:t>
        <w:br/>
      </w:r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 w:color="000080"/>
          <w:vertAlign w:val="baseline"/>
          <w:em w:val="none"/>
          <w:lang w:val="en-US"/>
        </w:rPr>
        <w:t>t</w:t>
      </w:r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 w:color="000080"/>
          <w:vertAlign w:val="baseline"/>
          <w:em w:val="none"/>
          <w:lang w:val="en-US"/>
        </w:rPr>
        <w:t>iffany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 w:color="000080"/>
          <w:lang w:val="en-US"/>
        </w:rPr>
        <w:t>.</w:t>
      </w:r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 w:color="000080"/>
          <w:vertAlign w:val="baseline"/>
          <w:em w:val="none"/>
          <w:lang w:val="en-US"/>
        </w:rPr>
        <w:t>t</w:t>
      </w:r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 w:color="000080"/>
          <w:vertAlign w:val="baseline"/>
          <w:em w:val="none"/>
          <w:lang w:val="en-US"/>
        </w:rPr>
        <w:t>imbric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 w:color="000080"/>
          <w:lang w:val="en-US"/>
        </w:rPr>
        <w:t>@gmail.com</w:t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2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3"/>
      <w:footerReference w:type="default" r:id="rId4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tentgenius.com/patent/6907423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LibreOffice/6.3.1.2$MacOSX_X86_64 LibreOffice_project/b79626edf0065ac373bd1df5c28bd630b4424273</Application>
  <Pages>3</Pages>
  <Words>605</Words>
  <Characters>3882</Characters>
  <CharactersWithSpaces>4407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2019-10-31T11:25:08Z</dcterms:modified>
  <cp:revision>4</cp:revision>
  <dc:subject/>
  <dc:title/>
</cp:coreProperties>
</file>