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1B3A5C"/>
        </w:rPr>
        <w:t>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LTSA 기반 유상 서비스 연계 방향</w:t>
        <w:br/>
        <w:t>2030년 안정 매출 구조와 업무 프로세스 개선 통합 제안</w:t>
      </w:r>
    </w:p>
    <w:p>
      <w:pPr>
        <w:jc w:val="center"/>
      </w:pPr>
      <w:r>
        <w:rPr>
          <w:b/>
          <w:color w:val="2B579A"/>
          <w:sz w:val="24"/>
        </w:rPr>
        <w:t>무상 기술지원 → AI 케이스 인계 → HI-CMS 알림 → LTSA 자연 전환</w:t>
      </w:r>
    </w:p>
    <w:p>
      <w:pPr>
        <w:jc w:val="center"/>
      </w:pPr>
      <w:r>
        <w:rPr>
          <w:i/>
          <w:color w:val="666666"/>
          <w:sz w:val="20"/>
        </w:rPr>
        <w:t>— 24/7 무상 기술지원 웹사이트 구축 제안의 후속, 회사 주제(중장기 매출 증대 + 업무 프로세스 개선)에 대한 통합 답변 —</w:t>
      </w:r>
    </w:p>
    <w:p>
      <w:pPr>
        <w:jc w:val="center"/>
      </w:pPr>
      <w:r>
        <w:rPr>
          <w:color w:val="1B3A5C"/>
        </w:rPr>
        <w:t>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B3A5C"/>
          <w:sz w:val="22"/>
        </w:rPr>
        <w:t>2026. 04</w:t>
        <w:br/>
        <w:t>HD현대마린솔루션테크</w:t>
      </w:r>
    </w:p>
    <w:p>
      <w:pPr>
        <w:pStyle w:val="Heading1"/>
      </w:pPr>
      <w:r>
        <w:t>Executive Summary — 한 장으로 보는 제안</w:t>
      </w:r>
    </w:p>
    <w:p>
      <w:r>
        <w:t>본 제안은 회사가 내려준 두 가지 주제 — "2030년까지 매출 증대를 위한 중장기 계획" 과 "업무 프로세스 개선" — 을 단일 메커니즘으로 통합한다. 핵심 명제는 "무상 보증기간 동안 축적되는 기술지원 이력을 자산화해, LTSA(Long Term Service Agreement, 장기 서비스 계약) 형태의 안정 매출로 자연 전환시킨다" 는 것. 매출 증대(중장기 계획)는 결과이고, 업무 프로세스 개선(AI 기반 PM 인계 자동화)은 그 과정에서 부수적으로 달성된다.</w:t>
      </w:r>
    </w:p>
    <w:p>
      <w:r>
        <w:t>본 제안은 선행 제안인 "24/7 무상 기술지원 웹사이트 구축 제안"의 후속이며, 무상 웹 포털을 "데이터 입구", LTSA를 "유상 출구", 그 사이를 잇는 4가지 메커니즘 — 무상 기술지원 / AI 케이스 인계 / HI-CMS 통합 알림 / LTSA 전환 — 을 설계한다.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축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메커니즘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2030년 목표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입구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기술지원 포털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메일·전화에 산재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선주 단일 창구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통로 1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케이스 인계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PM이 메일 수기 정리(수일)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요약 푸시(분 단위)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통로 2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 통합 알림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분석용·선주 미전달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이상 감지→웹 알림→케이스 자동 생성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출구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자연 전환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단발 유상 (예측 불가)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구독+사건 하이브리드 (예측 가능)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i/>
        </w:rPr>
        <w:t>※ 본 제안은 신규 인력·신규 시스템 일괄 투입을 요구하지 않음. 24/7 무상 기술지원 웹사이트(선행 제안)가 구축된 시점부터 "위에 얹는" 형태로 단계적 적용 가능. 2026년 PoC, 2027년 정식 운영, 2030년 LTSA 비중 50%↑ 도달이 목표.</w:t>
      </w:r>
    </w:p>
    <w:p>
      <w:pPr>
        <w:pStyle w:val="Heading1"/>
      </w:pPr>
      <w:r>
        <w:t>서론 — 왜 LTSA 연계인가</w:t>
      </w:r>
    </w:p>
    <w:p>
      <w:pPr>
        <w:pStyle w:val="Heading2"/>
      </w:pPr>
      <w:r>
        <w:t>회사 주제 두 가지를 어떻게 하나의 답변으로 묶는가</w:t>
      </w:r>
    </w:p>
    <w:p>
      <w:r>
        <w:t>회사는 "2030년까지 매출 증대를 위한 중장기 계획" 또는 "업무 프로세스 개선" 두 가지 주제를 제시했다. 본 제안은 "또는"이 아니라 "그리고"로 답한다. 중장기 매출 증대를 핵심 골자로 두되, 그것을 달성하기 위한 수단으로 업무 프로세스 개선(AI 기반 PM 인계, HI-CMS 통합 알림)이 자연스럽게 포함된다.</w:t>
      </w:r>
    </w:p>
    <w:p>
      <w:r>
        <w:t>▸  중장기 계획의 끝점 — 2030년 LTSA 매출 비중 50% 이상</w:t>
      </w:r>
    </w:p>
    <w:p>
      <w:r>
        <w:t>▸  업무 프로세스 개선 — 그 끝점에 도달하기 위한 PM·기술지원·HI-CMS 운영 효율화</w:t>
      </w:r>
    </w:p>
    <w:p>
      <w:r>
        <w:t>▸  통합 메커니즘 — 두 가지가 하나의 데이터 흐름(무상→AI인계→LTSA)에서 동시 달성</w:t>
      </w:r>
    </w:p>
    <w:p>
      <w:pPr>
        <w:pStyle w:val="Heading2"/>
      </w:pPr>
      <w:r>
        <w:t>선행 제안과의 관계</w:t>
      </w:r>
    </w:p>
    <w:p>
      <w:r>
        <w:t>본 제안은 "24/7 무상 기술지원 웹사이트 구축 제안" (2026.04, 사내자료) 을 전제로 한다. 선행 제안이 "선주를 어떻게 우리 웹으로 자연스럽게 끌어오는가"에 답했다면, 본 제안은 그 다음 질문 — "끌어온 다음, 어떻게 안정 매출 구조로 연결하는가" — 에 답한다.</w:t>
      </w:r>
    </w:p>
    <w:p>
      <w:r>
        <w:rPr>
          <w:b/>
        </w:rPr>
        <w:t>즉 선행 제안 = "무상 웹의 진입로 설계", 본 제안 = "무상 웹 → 유상 LTSA 전환로 설계".</w:t>
      </w:r>
    </w:p>
    <w:p>
      <w:pPr>
        <w:pStyle w:val="Heading2"/>
      </w:pPr>
      <w:r>
        <w:t>본 제안이 답하는 5개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 위치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왜 LTSA인가? OEM 3사가 30년 걸려 도달한 구조의 본질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→ 유상 전환 단절은 어떻게 해소하는가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2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케이스 인계는 어떻게 작동하며 PM 부담을 얼마나 줄이는가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3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HI-CMS는 어떻게 선주를 끌어오는 알림 채널이 되는가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4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2030년까지 어떻게 도달하는가 (단계별 매출 시뮬레이션)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5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본론 1 — 현황: 무상-유상 단절과 매출 불안정</w:t>
      </w:r>
    </w:p>
    <w:p>
      <w:pPr>
        <w:pStyle w:val="Heading2"/>
      </w:pPr>
      <w:r>
        <w:t>1-1. HMS의 현재 구조 — 무상에 머무르는 데이터, 단절된 유상</w:t>
      </w:r>
    </w:p>
    <w:p>
      <w:r>
        <w:t>HD현대마린솔루션테크는 HD현대 조선소가 건조한 약 9,890척 규모의 선박에 대해 무상 보증기간(통상 1~2년) 동안 기술지원·CLAIM 처리·선박 모니터링을 제공한다. 문제는 보증기간이 끝나는 시점에 "유상 서비스로의 자연스러운 전환로"가 없다는 점.</w:t>
      </w:r>
    </w:p>
    <w:p>
      <w:r>
        <w:t>▸  무상 기간 동안 축적된 기술지원·CLAIM·모니터링 이력은 메일·전화·개별 PC에 산재</w:t>
      </w:r>
    </w:p>
    <w:p>
      <w:r>
        <w:t>▸  보증 종료 시점에 선주에게 "다음 단계 옵션(유상 LCA·구독·사건 기반)"이 제안되지 않음</w:t>
      </w:r>
    </w:p>
    <w:p>
      <w:r>
        <w:t>▸  결과적으로 유상 서비스 매출은 단발성 사고·고장 대응에 의존 — 예측·계획 불가</w:t>
      </w:r>
    </w:p>
    <w:p>
      <w:pPr>
        <w:pStyle w:val="Heading2"/>
      </w:pPr>
      <w:r>
        <w:t>1-2. PM 조직의 어려움 — 케이스 이력 재구성 부담</w:t>
      </w:r>
    </w:p>
    <w:p>
      <w:r>
        <w:t>유상 서비스 요청이 들어왔을 때, PM(Project Manager, 유상 서비스 조직)은 해당 선박의 무상 기술지원 이력에 직접 접근할 수 없다. 결과적으로 한 척의 선박에 대해 PM이 다음과 같은 절차를 매번 반복한다.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PM이 하는 일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소요 시간 (현재)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담당 기술지원 엔지니어 식별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0.5~1일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메일·전화 이력 수집 (개인 PC·메일함 산재)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1~3일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케이스 정리·진단 내용 재구성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0.5~2일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데이터(Hi-4S·SmartCare·HI-CMS) 별도 조회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0.5~1일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유상 서비스 견적·범위 산정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0.5~1일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3~8일 / 척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b/>
        </w:rPr>
        <w:t>결과적으로 PM 1인이 동시에 처리 가능한 선박 수가 제한되며, 응답 지연 → 선주 만족도 ↓ → 유상 전환율 ↓ → 매출 손실로 이어진다. 이는 "무상-유상 사이의 데이터 단절" 이라는 구조적 문제이며, 인력 추가만으로는 근본 해결이 불가능하다.</w:t>
      </w:r>
    </w:p>
    <w:p>
      <w:pPr>
        <w:pStyle w:val="Heading2"/>
      </w:pPr>
      <w:r>
        <w:t>1-3. 매출 구조의 불안정 — 단발성 vs 안정 LTSA</w:t>
      </w:r>
    </w:p>
    <w:p>
      <w:r>
        <w:t>바르질라·콩스버그·ABB 등 OEM 3사는 매출의 40~60%를 LCA(Lifecycle Agreement, OEM에서 LTSA를 부르는 명칭)에서 확보한다. 연 단위·다년 계약 기반으로 예측 가능하고 안정적이다. 반면 HMS의 현재 유상 매출은 사고·고장 시 일회성 청구가 대부분 — 분기·연도별 변동성이 크다.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OEM 3사 평균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HMS 현재 (추정)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LTSA/LCA 매출 비중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40~60%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5~10%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 단위 매출 예측 정확도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±5%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±25%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선박당 연 평균 LCA 수익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확보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미확보 (사건 기반)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장기 고객 이탈률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&lt;5%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 불가 (데이터 산재)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b/>
        </w:rPr>
        <w:t>본 제안의 목적은 LTSA 비중을 2030년까지 OEM 3사 수준(40~50%)으로 끌어올려 매출 구조의 안정성과 예측 가능성을 동시에 확보하는 것이다.</w:t>
      </w:r>
    </w:p>
    <w:p>
      <w:pPr>
        <w:pStyle w:val="Heading1"/>
      </w:pPr>
      <w:r>
        <w:t>본론 2 — LTSA 연계 모델: 무상에서 유상으로의 흐름 설계</w:t>
      </w:r>
    </w:p>
    <w:p>
      <w:pPr>
        <w:pStyle w:val="Heading2"/>
      </w:pPr>
      <w:r>
        <w:t>2-1. 단계별 흐름 — "무상 입구 → 데이터 자산 → 유상 출구"</w:t>
      </w:r>
    </w:p>
    <w:p>
      <w:r>
        <w:t>본 제안의 핵심은 "선주가 무상 보증기간 동안 자연스럽게 사용한 기술지원 포털 자체가 유상 LTSA의 영업 도구가 된다" 는 점이다. 별도의 영업 캠페인이나 신규 접점 발굴이 필요 없다. 4단계로 설계.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선주 입장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HMS 입장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1 · 도입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인도~보증 1년차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기술지원 포털 사용 시작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자산 축적 시작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2 · 신뢰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보증 1~2년차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속도·이력 일원화 체감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케이스 인계 가동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3 · 전환 제안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보증 종료 6개월 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옵션 자동 안내 (포털)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매출로 사전 편입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Stage 4 · LTSA 운영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보증 종료 후 N년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구독·사건 LTSA 사용 중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안정 매출 확보·갱신 유도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2-2. LTSA 옵션 비교 — 구독 vs 사건 기반 vs 하이브리드</w:t>
      </w:r>
    </w:p>
    <w:p>
      <w:r>
        <w:t>유상 전환 시점에서 어떤 LTSA 형태가 효율적인지 — 본 제안의 분석 결과는 "하이브리드(기본 구독 + 초과 사건 청구)"가 선주·HMS 양쪽에 가장 유리하다는 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cantSplit/>
        </w:trPr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선주 부담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HMS 매출 안정성</w:t>
            </w:r>
          </w:p>
        </w:tc>
        <w:tc>
          <w:tcPr>
            <w:tcW w:type="dxa" w:w="192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권고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 · 구독형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 정액 (선박당)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가능 / 사용량 무관 부담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매우 안정 (예측 ±5%)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소형 선주 적합</w:t>
            </w:r>
          </w:p>
        </w:tc>
      </w:tr>
      <w:tr>
        <w:trPr>
          <w:cantSplit/>
        </w:trPr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 · 사건 기반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발생 시 청구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저사용 시 유리 / 변동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불안정 (현재 구조)</w:t>
            </w:r>
          </w:p>
        </w:tc>
        <w:tc>
          <w:tcPr>
            <w:tcW w:type="dxa" w:w="192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대형·자가 정비 선주 적합</w:t>
            </w:r>
          </w:p>
        </w:tc>
      </w:tr>
      <w:tr>
        <w:trPr>
          <w:cantSplit/>
        </w:trPr>
        <w:tc>
          <w:tcPr>
            <w:tcW w:type="dxa" w:w="1926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 · 하이브리드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기본료+초과 사용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가능 + 사용량 반영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안정 (기본료 확보)</w:t>
            </w:r>
          </w:p>
        </w:tc>
        <w:tc>
          <w:tcPr>
            <w:tcW w:type="dxa" w:w="1926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권고 (전 선주 기본)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t>하이브리드 모델은 "기본 구독료로 일정 매출을 확보"하면서도 "실제 발생한 기술지원·원격진단·부품·엔지니어 파견"은 별도 정산하는 구조. 선주는 갑작스런 대형 청구에 노출되지 않고, HMS는 매출 예측 가능성을 확보한다.</w:t>
      </w:r>
    </w:p>
    <w:p>
      <w:pPr>
        <w:pStyle w:val="Heading2"/>
      </w:pPr>
      <w:r>
        <w:t>2-3. 전환 트리거 — "보증 종료" 만이 아니다</w:t>
      </w:r>
    </w:p>
    <w:p>
      <w:r>
        <w:t>LTSA 전환은 보증기간 종료 시점에 한 번만 일어나는 이벤트가 아니다. 아래 5가지 트리거가 활성화될 때마다 포털에서 자동으로 LTSA 제안이 노출된다.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시점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전환 권유 메시지 예시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T1 · 보증 종료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인도+1~2년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보증 종료 6개월 전 알림 + LTSA 옵션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T2 · 고빈도 기술 문의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3건 이상 누적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"이 정도면 정기 LTSA가 더 유리합니다"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T3 · 이상 데이터 감지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 임계 초과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"예측정비 LTSA로 사전 대응 가능"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T4 · 사고·정비 대형 케이스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1건당 비용 임계 초과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"향후 동일 위험 LTSA로 흡수 가능"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T5 · 선주 신규 선박 인도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동일 선주 추가 인도 시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"플릿 단위 LTSA 패키지 제공"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본론 3 — AI 케이스 인계 자동화 (업무 프로세스 개선의 핵심)</w:t>
      </w:r>
    </w:p>
    <w:p>
      <w:pPr>
        <w:pStyle w:val="Heading2"/>
      </w:pPr>
      <w:r>
        <w:t>3-1. 문제 재정의 — "PM이 메일을 뒤지는 시간"이 매출 손실</w:t>
      </w:r>
    </w:p>
    <w:p>
      <w:r>
        <w:t>본론 1-2에서 정량화된 "PM 1척당 3~8일 케이스 재구성 시간"은 단순한 효율 문제가 아니다. 그 시간만큼 LTSA 제안이 늦어지고, 그 사이 선주는 "이번에도 단발성 견적으로 처리"하는 의사결정으로 기울어진다. 즉 PM 인계 지연 = LTSA 전환 기회 손실.</w:t>
      </w:r>
    </w:p>
    <w:p>
      <w:pPr>
        <w:pStyle w:val="Heading2"/>
      </w:pPr>
      <w:r>
        <w:t>3-2. 제안 구조 — 케이스 종료 시점 AI 자동 요약</w:t>
      </w:r>
    </w:p>
    <w:p>
      <w:r>
        <w:t>무상 기술지원 포털에서 케이스가 종료되거나 일정 기간 누적되는 시점에, LLM 기반 요약 에이전트가 다음 항목을 자동 생성하여 PM 대시보드로 푸시한다.</w:t>
      </w:r>
    </w:p>
    <w:p>
      <w:r>
        <w:t>▸  장비·부위 — 어떤 장비의 어느 부위인지 (계통 분류)</w:t>
      </w:r>
    </w:p>
    <w:p>
      <w:r>
        <w:t>▸  증상 요약 — 선주 호소 내용 + 관측된 데이터</w:t>
      </w:r>
    </w:p>
    <w:p>
      <w:r>
        <w:t>▸  진단 결과 — Tier 1~4 단계별 분석 종합</w:t>
      </w:r>
    </w:p>
    <w:p>
      <w:r>
        <w:t>▸  임시 조치 — 무상 단계에서 적용된 응급·단기 조치</w:t>
      </w:r>
    </w:p>
    <w:p>
      <w:r>
        <w:t>▸  잔여 리스크 — 재발 가능성·연관 시스템 영향 평가</w:t>
      </w:r>
    </w:p>
    <w:p>
      <w:r>
        <w:t>▸  LTSA 권고 액션 — 정기 점검 / 부품 교체 / 모니터링 강화 등</w:t>
      </w:r>
    </w:p>
    <w:p>
      <w:r>
        <w:t>▸  매출 기회 추정 — 권고 액션 수행 시 예상 LTSA 매출</w:t>
      </w:r>
    </w:p>
    <w:p>
      <w:pPr>
        <w:pStyle w:val="Heading2"/>
      </w:pPr>
      <w:r>
        <w:t>3-3. 흐름도 — 케이스 → AI → PM → LTSA</w:t>
      </w:r>
    </w:p>
    <w:p>
      <w:r>
        <w:t>아래는 무상 기술지원 케이스가 닫히는 시점부터 LTSA 제안이 발송되기까지의 흐름.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소요 시간 (목표)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 · 케이스 종료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기술지원 엔지니어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자동 클로즈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 · AI 요약 생성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에이전트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5~10초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7개 항목 정리본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 · PM 대시보드 푸시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담당 PM 알림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 · PM 검토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5~15분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권고 액션 검토·승인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 · LTSA 제안 발송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(자동 템플릿)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포털 + 메일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 소요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15~30분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(현재 3~8일 대비 99% 감축)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3-4. 정량 효과 — PM 처리 능력과 매출 기회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(제안 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PM 1인당 동시 처리 선박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20~30척 (수기 한계)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150~200척 (AI 인계)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케이스 인계 소요 시간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3~8일 / 척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15~30분 / 척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LTSA 제안 발송 지연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평균 2주 (수기 정리 후)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실시간 (케이스 종료 직후)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PM 1인당 연 LTSA 제안 건수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40~60건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300~400건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AI 요약 신뢰도 (검토 소요 시)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해당 없음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95%+ (PM 검토 5분 이내)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영업 기회 손실률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추정 30~50% (지연 기인)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5% 이하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i/>
        </w:rPr>
        <w:t>※ 위 수치는 보수적 가정. 실제 PoC를 통해 검증할 예정. 다만 "PM이 메일을 뒤지는 시간을 AI가 대신한다"는 구조 자체는 일반화된 RAG·LLM 워크플로로 충분히 구현 가능한 수준.</w:t>
      </w:r>
    </w:p>
    <w:p>
      <w:pPr>
        <w:pStyle w:val="Heading1"/>
      </w:pPr>
      <w:r>
        <w:t>본론 4 — HI-CMS 통합 알림: 선주를 끌어오는 자석</w:t>
      </w:r>
    </w:p>
    <w:p>
      <w:pPr>
        <w:pStyle w:val="Heading2"/>
      </w:pPr>
      <w:r>
        <w:t>4-1. HI-CMS는 무엇인가</w:t>
      </w:r>
    </w:p>
    <w:p>
      <w:r>
        <w:t>HI-CMS(HD현대마린솔루션테크 통합 모니터링 시스템)는 두 가지 사내 시스템을 통합한 결과물.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구성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약어 풀이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영역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HI-ODS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Operational Data Service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기관·연료·운항 등 운영 데이터 통합 수집·저장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ISS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Integrated Smart Ship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자동화·항해·제어 시스템 통합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HI-ODS + ISS 통합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운영 전 영역 통합 모니터링·분석 플랫폼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t>문제는 HI-CMS의 풍부한 데이터가 현재 사내 분석·R&amp;D 용도에 머물러 있고, 선주에게는 가공된 알림으로 전달되지 않는다는 점이다. 즉 "데이터는 있는데 선주가 모름".</w:t>
      </w:r>
    </w:p>
    <w:p>
      <w:pPr>
        <w:pStyle w:val="Heading2"/>
      </w:pPr>
      <w:r>
        <w:t>4-2. 통합 흐름 — HI-CMS → 웹 알림 → 케이스 → LTSA</w:t>
      </w:r>
    </w:p>
    <w:p>
      <w:r>
        <w:t>HI-CMS의 이상 감지 신호가 선주의 행동을 어떻게 유도하는지의 4단계 흐름.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시스템 동작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선주 경험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 · 이상 감지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 임계치 초과·이상 패턴 학습 모델 알림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(선주는 모름)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웹 알림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포털 + 모바일 푸시 + 이메일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"엔진 진동 평소보다 +18%" 알림 클릭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 · 케이스 자동 생성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데이터·이력 자동 첨부된 케이스 초안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클릭 한 번으로 기술지원 시작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 · LTSA 트리거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인계 → PM이 예측정비 LTSA 제안 발송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"이 위험을 LTSA로 흡수 가능" 안내 수신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4-3. 알림 트리거 예시 (실제 적용 가능 시나리오)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감지 데이터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선주 알림 메시지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LTSA 연결 가능성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연료 효율 저하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주행거리/연료 소비 비율 5%↓ 지속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"연료 효율 5% 저하 감지 — 점검 권고"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 (정기 정비 LTSA)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엔진 진동 증가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진동 센서 +15% 이상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"엔진 진동 평소 대비 +18%"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매우 높음 (예측정비 LTSA)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윤활유 이상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오일 분석 + 압력 센서 패턴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"윤활유 점도 이상 — 샘플 권고"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 (소모품 LTSA)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DPS 결함 신호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제어 시스템 자가진단 코드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"DPS 모듈 자가진단 경고 발생"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매우 높음 (긴급 LTSA + 부품)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배기·NOx 임계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배기 가스 센서 + 운항 패턴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"NOx 규제 임계 접근 — 사전 점검 권고"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 (규제 대응 LTSA)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b/>
        </w:rPr>
        <w:t>핵심: HI-CMS 알림은 "선주가 안 와도 됐던 영역"을 "선주가 즉시 확인하게 만드는 영역"으로 바꾼다. 알림 클릭 → 케이스 생성 → 무상 기술지원 → 데이터 자산화 → LTSA 제안의 흐름이 선주 입장에서는 "한 번의 클릭"으로 시작된다.</w:t>
      </w:r>
    </w:p>
    <w:p>
      <w:pPr>
        <w:pStyle w:val="Heading1"/>
      </w:pPr>
      <w:r>
        <w:t>본론 5 — 2030 중장기 로드맵과 매출 시뮬레이션</w:t>
      </w:r>
    </w:p>
    <w:p>
      <w:pPr>
        <w:pStyle w:val="Heading2"/>
      </w:pPr>
      <w:r>
        <w:t>5-1. 5-Phase 로드맵 — 2026~2030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과업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KPI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 · MVP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 · 1~2분기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웹 + AI 인계 PoC + HI-CMS 알림 1종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10~20개사 Closed Beta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 · 정착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 · 3~4분기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요약 신뢰도 95%↑ / HI-CMS 알림 5종 / LTSA 제안 자동화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LTSA 제안 100건↑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 · 확장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2027~2028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무상 보증 선주 적용 / 구독+사건 하이브리드 정식 출시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20~30% 도달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4 · 통합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2028~2029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 알림 전 선박·전 계통 / 예측정비 LTSA 본격 운영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35~40%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5 · 안정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플릿 단위 LTSA 패키지 / OEM 3사 수준 매출 안정성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50%↑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5-2. 매출 시뮬레이션 (보수 기준 가정)</w:t>
      </w:r>
    </w:p>
    <w:p>
      <w:r>
        <w:t>아래 시뮬레이션은 다음 가정에 근거. (a) 적용 대상 선박 9,890척 중 LTSA 적용 가능 영역은 약 60% (5,900척), (b) 선박당 연 LTSA 단가 가정치는 OEM 3사 LCA 평균(외부 자료 기준)의 70% 수준, (c) 비중 % 는 HMS 전체 서비스 매출 대비 LTSA 매출 비율.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LTSA 가입 척수 (누적)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LTSA 매출 비중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 안정성 (예측 정확도)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50~100척 (Pilot)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5% 이하 (현재 수준 유지)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±25%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2027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500~800척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10~15%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±20%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2028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1,500~2,000척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20~30%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±15%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2029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2,500~3,500척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35~40%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±10%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4,000~5,000척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50%↑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±5% (OEM 3사 수준)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rPr>
          <w:i/>
        </w:rPr>
        <w:t>※ 위 시뮬레이션은 본 제안 단계의 가정 모델이며, Phase 1 PoC 종료 시점에 실측 데이터 기반으로 재보정 예정. 다만 "LTSA 비중을 50%로 끌어올리는 데 필요한 단일 메커니즘이 무상 웹 + AI 인계 + HI-CMS 알림" 이라는 구조는 변하지 않는다.</w:t>
      </w:r>
    </w:p>
    <w:p>
      <w:pPr>
        <w:pStyle w:val="Heading2"/>
      </w:pPr>
      <w:r>
        <w:t>5-3. 단계별 의사결정 게이트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게이트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시점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의사결정 항목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Go/No-Go 기준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 종료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요약 신뢰도, PM 수용도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신뢰도 90%↑ + PM 만족도 4.0/5.0↑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 종료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하이브리드 LTSA 정식 출시 여부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Closed Beta 갱신율 80%↑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 종료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선박 확대 / 인력 보강 규모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20%↑ + 매출 예측 ±15%↓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4 종료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플릿 단위 LTSA 패키지 도입 여부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35%↑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본론 6 — 업무 프로세스 개선 효과 (부수적 가치)</w:t>
      </w:r>
    </w:p>
    <w:p>
      <w:r>
        <w:t>본 제안의 1차 목표는 매출 증대(LTSA 비중 50%↑)이지만, 그 과정에서 발생하는 업무 프로세스 개선 효과 또한 회사 주제의 직접 답이 된다.</w:t>
      </w:r>
    </w:p>
    <w:p>
      <w:pPr>
        <w:pStyle w:val="Heading2"/>
      </w:pPr>
      <w:r>
        <w:t>6-1. R&amp;R 명확화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(제안 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기술지원 엔지니어 ↔ PM 인계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메일 포워딩·구두 인수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AI 자동 요약 + 대시보드 알림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PM ↔ 영업 (LTSA 제안)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월간 회의에서 케이스 공유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케이스 종료 즉시 LTSA 제안 자동 생성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영업 ↔ 선주 (전환 시점)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단발성 견적 발송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포털에서 LTSA 옵션 자동 노출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R&amp;D ↔ 현장 (HI-CMS 데이터)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사내 분석에 머무름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이상 감지 → 선주 알림 자동 발송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6-2. 데이터 기반 KPI 측정</w:t>
      </w:r>
    </w:p>
    <w:p>
      <w:r>
        <w:t>현재는 "어떤 기술지원이 LTSA로 전환됐는가"를 사후 분석조차 하기 어렵다. 본 제안 후에는 케이스 단위로 다음 KPI가 자동 측정된다.</w:t>
      </w:r>
    </w:p>
    <w:p>
      <w:r>
        <w:t>▸  케이스 → LTSA 전환율 (per case, per 선주, per 선박)</w:t>
      </w:r>
    </w:p>
    <w:p>
      <w:r>
        <w:t>▸  AI 요약 정확도 (PM 수정률 기준)</w:t>
      </w:r>
    </w:p>
    <w:p>
      <w:r>
        <w:t>▸  HI-CMS 알림 → 케이스 생성 전환율</w:t>
      </w:r>
    </w:p>
    <w:p>
      <w:r>
        <w:t>▸  LTSA 갱신율·이탈율 (선주 단위)</w:t>
      </w:r>
    </w:p>
    <w:p>
      <w:r>
        <w:t>▸  Tier별 응답 SLA 준수율 (선행 제안의 핵심 KPI 연계)</w:t>
      </w:r>
    </w:p>
    <w:p>
      <w:pPr>
        <w:pStyle w:val="Heading2"/>
      </w:pPr>
      <w:r>
        <w:t>6-3. Before / After 종합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(제안 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PM 1척당 케이스 재구성 시간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3~8일 (메일 수기 정리)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15~30분 (AI 자동 인계)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LTSA 제안 발송 지연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평균 2주~1개월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실시간 (케이스 종료 직후)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HI-CMS 활용률 (선주 노출)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0% (사내 한정)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100% (이상 감지 즉시 알림)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LTSA 매출 비중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5~10%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50%↑ (2030)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예측 정확도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±25% (단발성 의존)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±5% (OEM 3사 수준)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이탈 리스크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777777"/>
                <w:sz w:val="18"/>
              </w:rPr>
              <w:t>측정 불가</w:t>
            </w:r>
          </w:p>
        </w:tc>
        <w:tc>
          <w:tcPr>
            <w:tcW w:type="dxa" w:w="3211"/>
            <w:shd w:fill="EAFAF1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갱신율·이탈율 실측 가능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결론 — 4가지 메커니즘, 하나의 흐름</w:t>
      </w:r>
    </w:p>
    <w:p>
      <w:r>
        <w:t>본 제안은 회사의 두 가지 주제 — 2030년 매출 증대 중장기 계획, 업무 프로세스 개선 — 을 단일 메커니즘으로 통합한다. 그 메커니즘은 다음 4가지 축의 연쇄 흐름이다.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축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 설명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무상 기술지원 포털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입구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자연스럽게 들어오는 단일 창구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② AI 케이스 인계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통로 1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PM이 메일을 뒤지지 않고 즉시 LTSA 제안 가능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③ HI-CMS 통합 알림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통로 2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안 와도 됐던 영역을 "와야 하는 영역"으로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 LTSA 자연 전환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출구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단발성 매출 → 안정적 구독+사건 하이브리드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t>이 4가지가 동시에 작동할 때 "매출 증대(중장기 계획)"와 "업무 프로세스 개선" 이 하나의 흐름에서 동시에 달성된다. 별도 영업 캠페인·신규 시장 진출·신규 인력 일괄 투입은 필요 없다. 우리가 이미 가지고 있는 데이터와 시스템(HI-CMS, 무상 보증 선박 9,890척, AS 운영 조직)을 "연결"만 하면 되는 구조다.</w:t>
      </w:r>
    </w:p>
    <w:p>
      <w:pPr>
        <w:pStyle w:val="Heading2"/>
      </w:pPr>
      <w:r>
        <w:t>단 한 줄의 약속</w:t>
      </w:r>
    </w:p>
    <w:p>
      <w:pPr>
        <w:jc w:val="center"/>
      </w:pPr>
      <w:r>
        <w:rPr>
          <w:b/>
          <w:i/>
          <w:color w:val="1B3A5C"/>
          <w:sz w:val="26"/>
        </w:rPr>
        <w:t>"메일을 열던 그 손이, 자연스럽게 LTSA 제안을 클릭하는 순간을 만든다."</w:t>
      </w:r>
    </w:p>
    <w:p>
      <w:pPr>
        <w:pStyle w:val="Heading1"/>
      </w:pPr>
      <w:r>
        <w:t>부록 A — 발표 시간 배분 (총 10분)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메시지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0:00~1:00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서론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회사 주제 두 가지를 하나의 메커니즘으로 통합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1:00~3:00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 — 현황·단절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1척당 3~8일 / LTSA 비중 5~10%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3:00~4:30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2 — LTSA 모델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하이브리드 (구독+사건) 권고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4:30~6:30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3 — AI 인계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99% 시간 단축 / 영업 기회 손실 5%↓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6:30~7:30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4 — HI-CMS 알림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선주를 "와야 하는 사람"으로 전환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7:30~9:00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5 — 2030 로드맵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LTSA 비중 5% → 50% / 5-Phase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9:00~10:00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결론 + Q&amp;A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4축 메커니즘 / 단 한 줄의 약속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부록 B — 핵심 질문 1줄 답변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1줄 답변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왜 LTSA인가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3사가 매출 안정성을 확보한 유일한 구조. HMS도 동일하게 도달 가능.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무상-유상 단절은 어떻게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포털 자체가 유상 영업 도구. AI 인계 + HI-CMS 알림이 그 사이를 잇는다.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인계의 효과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1척당 3~8일 → 15~30분 (99% 시간 단축, 처리 능력 5~7배).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HI-CMS는 어떻게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이상 감지 → 웹 알림 → 케이스 자동 생성 → LTSA 제안 (선주 클릭 1회).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2030년 도달 방법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5-Phase 단계별 게이트. PoC(2026) → 정착(2027) → 확장(2028) → 통합(2029) → 안정(2030).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부록 C — 예상 Q&amp;A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Q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예상 질문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준비된 답변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요약 신뢰도가 부족하면?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검토 단계 5~15분 유지. 신뢰도 90%↑ 도달 시까지 PoC 단계에서 검증.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HI-CMS 데이터 보안·선주 동의는?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선주별 옵트인 정책. 공개 범위는 LCA 표준 약관 기반(OEM 3사 동등 수준).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구독형 LTSA가 선주 부담만 키우지 않을까?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하이브리드(기본료+사용량) 권고. 저사용 선주에게도 손해 없는 구조 설계.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→ 유상 전환 시 선주 저항은?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무상은 그대로 유지. 유상은 "추가" 가치(예측정비·우선 응답)에 한정. 강요 없음.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필요 인력·예산 규모?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 기준 AI/플랫폼 PoC 팀 5~7명. 신규 영업 인력 불필요. (선행 제안 인력 활용)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3사가 동일하게 막아오면?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OEM 3사는 자기 장비만 커버. HMS는 HD현대 조선소 건조선 전체 시스템 통합 가능 — 차별점.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1"/>
      </w:pPr>
      <w:r>
        <w:t>참고문헌 (References)</w:t>
      </w:r>
    </w:p>
    <w:p>
      <w:r>
        <w:t>본 제안은 선행 제안의 참고문헌을 그대로 승계하며, LTSA·LCA·AI 인계·예측정비 영역에 한해 추가 자료를 보강.</w:t>
      </w:r>
    </w:p>
    <w:p>
      <w:r>
        <w:rPr>
          <w:b/>
          <w:color w:val="1B3A5C"/>
          <w:sz w:val="22"/>
        </w:rPr>
        <w:t>1. 사내 자료 (선행·연계 제안)</w:t>
      </w:r>
    </w:p>
    <w:p>
      <w:pPr>
        <w:ind w:left="283"/>
      </w:pPr>
      <w:r>
        <w:rPr>
          <w:b/>
          <w:sz w:val="20"/>
        </w:rPr>
        <w:t>[1] HD현대마린솔루션테크 — 24/7 무상 기술지원 웹사이트 구축 제안 (2026.04)</w:t>
        <w:br/>
      </w:r>
      <w:r>
        <w:rPr>
          <w:i/>
          <w:color w:val="666666"/>
          <w:sz w:val="18"/>
        </w:rPr>
        <w:t xml:space="preserve">    본 제안의 직접 전제 · 무상 웹 진입로 설계</w:t>
      </w:r>
    </w:p>
    <w:p>
      <w:pPr>
        <w:ind w:left="283"/>
      </w:pPr>
      <w:r>
        <w:rPr>
          <w:b/>
          <w:sz w:val="20"/>
        </w:rPr>
        <w:t>[2] HD현대마린솔루션테크 — 원격 기술 지원 24/7 전문가 대기 체계 제안 (2026.04)</w:t>
        <w:br/>
      </w:r>
      <w:r>
        <w:rPr>
          <w:i/>
          <w:color w:val="666666"/>
          <w:sz w:val="18"/>
        </w:rPr>
        <w:t xml:space="preserve">    4-Tier · Follow-the-Sun 운영 체계</w:t>
      </w:r>
    </w:p>
    <w:p>
      <w:pPr>
        <w:ind w:left="283"/>
      </w:pPr>
      <w:r>
        <w:rPr>
          <w:b/>
          <w:sz w:val="20"/>
        </w:rPr>
        <w:t>[3] HD현대마린솔루션테크 — 선도기업 AM 전략 벤치마킹 보고서 (2026.04)</w:t>
        <w:br/>
      </w:r>
      <w:r>
        <w:rPr>
          <w:i/>
          <w:color w:val="666666"/>
          <w:sz w:val="18"/>
        </w:rPr>
        <w:t xml:space="preserve">    OEM 3사 LCA 매출 구조 분석</w:t>
      </w:r>
    </w:p>
    <w:p>
      <w:pPr>
        <w:ind w:left="283"/>
      </w:pPr>
      <w:r>
        <w:rPr>
          <w:b/>
          <w:sz w:val="20"/>
        </w:rPr>
        <w:t>[4] HD현대마린솔루션테크 — 배전반 서비스 리포트 고도화 제안 (2026.04)</w:t>
        <w:br/>
      </w:r>
      <w:r>
        <w:rPr>
          <w:i/>
          <w:color w:val="666666"/>
          <w:sz w:val="18"/>
        </w:rPr>
        <w:t xml:space="preserve">    선주 접점 재설계·HI-CMS 데이터 활용</w:t>
      </w:r>
    </w:p>
    <w:p>
      <w:pPr>
        <w:spacing w:before="0" w:after="0" w:line="120" w:lineRule="exact"/>
      </w:pPr>
      <w:r>
        <w:rPr>
          <w:sz w:val="2"/>
        </w:rPr>
      </w:r>
    </w:p>
    <w:p>
      <w:r>
        <w:rPr>
          <w:b/>
          <w:color w:val="1B3A5C"/>
          <w:sz w:val="22"/>
        </w:rPr>
        <w:t>2. LCA · LTSA 운영 사례 (OEM 선도기업)</w:t>
      </w:r>
    </w:p>
    <w:p>
      <w:pPr>
        <w:ind w:left="283"/>
      </w:pPr>
      <w:r>
        <w:rPr>
          <w:b/>
          <w:sz w:val="20"/>
        </w:rPr>
        <w:t>[1] Wärtsilä — Lifecycle Agreement 표준 약관 및 사례</w:t>
        <w:br/>
      </w:r>
      <w:r>
        <w:rPr>
          <w:i/>
          <w:color w:val="666666"/>
          <w:sz w:val="18"/>
        </w:rPr>
        <w:t xml:space="preserve">    https://www.wartsila.com/marine/services/lifecycle-agreements</w:t>
      </w:r>
    </w:p>
    <w:p>
      <w:pPr>
        <w:ind w:left="283"/>
      </w:pPr>
      <w:r>
        <w:rPr>
          <w:b/>
          <w:sz w:val="20"/>
        </w:rPr>
        <w:t>[2] Wärtsilä — Expert Insight Service (예측정비 LCA 연계)</w:t>
        <w:br/>
      </w:r>
      <w:r>
        <w:rPr>
          <w:i/>
          <w:color w:val="666666"/>
          <w:sz w:val="18"/>
        </w:rPr>
        <w:t xml:space="preserve">    https://www.wartsila.com/marine/services/lifecycle-agreements/expert-insight</w:t>
      </w:r>
    </w:p>
    <w:p>
      <w:pPr>
        <w:ind w:left="283"/>
      </w:pPr>
      <w:r>
        <w:rPr>
          <w:b/>
          <w:sz w:val="20"/>
        </w:rPr>
        <w:t>[3] ABB — Service Agreements (Marine)</w:t>
        <w:br/>
      </w:r>
      <w:r>
        <w:rPr>
          <w:i/>
          <w:color w:val="666666"/>
          <w:sz w:val="18"/>
        </w:rPr>
        <w:t xml:space="preserve">    https://new.abb.com/marine/services/service-agreements</w:t>
      </w:r>
    </w:p>
    <w:p>
      <w:pPr>
        <w:ind w:left="283"/>
      </w:pPr>
      <w:r>
        <w:rPr>
          <w:b/>
          <w:sz w:val="20"/>
        </w:rPr>
        <w:t>[4] Kongsberg Maritime — Lifecycle Services</w:t>
        <w:br/>
      </w:r>
      <w:r>
        <w:rPr>
          <w:i/>
          <w:color w:val="666666"/>
          <w:sz w:val="18"/>
        </w:rPr>
        <w:t xml:space="preserve">    https://www.kongsberg.com/maritime/services/</w:t>
      </w:r>
    </w:p>
    <w:p>
      <w:pPr>
        <w:spacing w:before="0" w:after="0" w:line="120" w:lineRule="exact"/>
      </w:pPr>
      <w:r>
        <w:rPr>
          <w:sz w:val="2"/>
        </w:rPr>
      </w:r>
    </w:p>
    <w:p>
      <w:r>
        <w:rPr>
          <w:b/>
          <w:color w:val="1B3A5C"/>
          <w:sz w:val="22"/>
        </w:rPr>
        <w:t>3. AI 기반 운영 인계 · 케이스 자동 요약</w:t>
      </w:r>
    </w:p>
    <w:p>
      <w:pPr>
        <w:ind w:left="283"/>
      </w:pPr>
      <w:r>
        <w:rPr>
          <w:b/>
          <w:sz w:val="20"/>
        </w:rPr>
        <w:t>[1] McKinsey — Generative AI in Customer Service Operations (2024)</w:t>
        <w:br/>
      </w:r>
      <w:r>
        <w:rPr>
          <w:i/>
          <w:color w:val="666666"/>
          <w:sz w:val="18"/>
        </w:rPr>
        <w:t xml:space="preserve">    케이스 요약·인계 자동화 효과 분석</w:t>
      </w:r>
    </w:p>
    <w:p>
      <w:pPr>
        <w:ind w:left="283"/>
      </w:pPr>
      <w:r>
        <w:rPr>
          <w:b/>
          <w:sz w:val="20"/>
        </w:rPr>
        <w:t>[2] BCG — AI for Field Service Operations (2024)</w:t>
        <w:br/>
      </w:r>
      <w:r>
        <w:rPr>
          <w:i/>
          <w:color w:val="666666"/>
          <w:sz w:val="18"/>
        </w:rPr>
        <w:t xml:space="preserve">    현장 엔지니어 → PM 인계 효율화 사례</w:t>
      </w:r>
    </w:p>
    <w:p>
      <w:pPr>
        <w:ind w:left="283"/>
      </w:pPr>
      <w:r>
        <w:rPr>
          <w:b/>
          <w:sz w:val="20"/>
        </w:rPr>
        <w:t>[3] Gartner — Hyperautomation in B2B Service (2024)</w:t>
        <w:br/>
      </w:r>
      <w:r>
        <w:rPr>
          <w:i/>
          <w:color w:val="666666"/>
          <w:sz w:val="18"/>
        </w:rPr>
        <w:t xml:space="preserve">    RAG·LLM 기반 인계 워크플로 트렌드</w:t>
      </w:r>
    </w:p>
    <w:p>
      <w:pPr>
        <w:spacing w:before="0" w:after="0" w:line="120" w:lineRule="exact"/>
      </w:pPr>
      <w:r>
        <w:rPr>
          <w:sz w:val="2"/>
        </w:rPr>
      </w:r>
    </w:p>
    <w:p>
      <w:r>
        <w:rPr>
          <w:b/>
          <w:color w:val="1B3A5C"/>
          <w:sz w:val="22"/>
        </w:rPr>
        <w:t>4. 매출 안정화 · 구독 모델 이론</w:t>
      </w:r>
    </w:p>
    <w:p>
      <w:pPr>
        <w:ind w:left="283"/>
      </w:pPr>
      <w:r>
        <w:rPr>
          <w:b/>
          <w:sz w:val="20"/>
        </w:rPr>
        <w:t>[1] HBR — The Economics of Subscription Businesses (재게시 분석)</w:t>
        <w:br/>
      </w:r>
      <w:r>
        <w:rPr>
          <w:i/>
          <w:color w:val="666666"/>
          <w:sz w:val="18"/>
        </w:rPr>
        <w:t xml:space="preserve">    구독+사건 하이브리드 효율 비교</w:t>
      </w:r>
    </w:p>
    <w:p>
      <w:pPr>
        <w:ind w:left="283"/>
      </w:pPr>
      <w:r>
        <w:rPr>
          <w:b/>
          <w:sz w:val="20"/>
        </w:rPr>
        <w:t>[2] BCG — Service Models in Capital-Intensive Industries</w:t>
        <w:br/>
      </w:r>
      <w:r>
        <w:rPr>
          <w:i/>
          <w:color w:val="666666"/>
          <w:sz w:val="18"/>
        </w:rPr>
        <w:t xml:space="preserve">    LCA 구조의 매출 안정화 메커니즘</w:t>
      </w:r>
    </w:p>
    <w:p>
      <w:pPr>
        <w:ind w:left="283"/>
      </w:pPr>
      <w:r>
        <w:rPr>
          <w:b/>
          <w:sz w:val="20"/>
        </w:rPr>
        <w:t>[3] Deloitte — Servitization in Industrial OEMs</w:t>
        <w:br/>
      </w:r>
      <w:r>
        <w:rPr>
          <w:i/>
          <w:color w:val="666666"/>
          <w:sz w:val="18"/>
        </w:rPr>
        <w:t xml:space="preserve">    제품 매출 → 서비스 매출 전환 로드맵</w:t>
      </w:r>
    </w:p>
    <w:p>
      <w:pPr>
        <w:spacing w:before="0" w:after="0" w:line="120" w:lineRule="exact"/>
      </w:pPr>
      <w:r>
        <w:rPr>
          <w:sz w:val="2"/>
        </w:rPr>
      </w:r>
    </w:p>
    <w:p>
      <w:r>
        <w:rPr>
          <w:b/>
          <w:color w:val="1B3A5C"/>
          <w:sz w:val="22"/>
        </w:rPr>
        <w:t>5. 시장 · 산업 동향</w:t>
      </w:r>
    </w:p>
    <w:p>
      <w:pPr>
        <w:ind w:left="283"/>
      </w:pPr>
      <w:r>
        <w:rPr>
          <w:b/>
          <w:sz w:val="20"/>
        </w:rPr>
        <w:t>[1] DNV — Maritime Forecast to 2050 (원격·디지털화 전망)</w:t>
        <w:br/>
      </w:r>
      <w:r>
        <w:rPr>
          <w:i/>
          <w:color w:val="666666"/>
          <w:sz w:val="18"/>
        </w:rPr>
        <w:t xml:space="preserve">    https://www.dnv.com/maritime/publications/maritime-forecast-2023/</w:t>
      </w:r>
    </w:p>
    <w:p>
      <w:pPr>
        <w:ind w:left="283"/>
      </w:pPr>
      <w:r>
        <w:rPr>
          <w:b/>
          <w:sz w:val="20"/>
        </w:rPr>
        <w:t>[2] Clarksons Research — World Fleet Register</w:t>
        <w:br/>
      </w:r>
      <w:r>
        <w:rPr>
          <w:i/>
          <w:color w:val="666666"/>
          <w:sz w:val="18"/>
        </w:rPr>
        <w:t xml:space="preserve">    대상 선박 모집단(9,890척) 산정 근거</w:t>
      </w:r>
    </w:p>
    <w:p>
      <w:pPr>
        <w:ind w:left="283"/>
      </w:pPr>
      <w:r>
        <w:rPr>
          <w:b/>
          <w:sz w:val="20"/>
        </w:rPr>
        <w:t>[3] Fortune Business Insights — Maritime Satellite Communication Market</w:t>
        <w:br/>
      </w:r>
      <w:r>
        <w:rPr>
          <w:i/>
          <w:color w:val="666666"/>
          <w:sz w:val="18"/>
        </w:rPr>
        <w:t xml:space="preserve">    선박 ↔ 본사 실시간 연결성 전망</w:t>
      </w:r>
    </w:p>
    <w:p>
      <w:pPr>
        <w:spacing w:before="0" w:after="0" w:line="120" w:lineRule="exact"/>
      </w:pPr>
      <w:r>
        <w:rPr>
          <w:sz w:val="2"/>
        </w:rPr>
      </w:r>
    </w:p>
    <w:p>
      <w:r>
        <w:rPr>
          <w:i/>
        </w:rPr>
        <w:t>※ 모든 외부 자료 URL은 발표 시점 기준 최신 공개본. 사내 자료는 발표 자료집 또는 팀 공유 드라이브 참조.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맑은 고딕" w:hAnsi="맑은 고딕" w:eastAsia="맑은 고딕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