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Analysis Report</w:t>
      </w:r>
    </w:p>
    <w:p>
      <w:pPr>
        <w:pStyle w:val="Subtitle"/>
      </w:pPr>
      <w:r>
        <w:t xml:space="preserve">Quarto starter template</w:t>
      </w:r>
    </w:p>
    <w:p>
      <w:pPr>
        <w:pStyle w:val="Author"/>
      </w:pPr>
      <w:r>
        <w:t xml:space="preserve">Zarathu</w:t>
      </w:r>
    </w:p>
    <w:p>
      <w:pPr>
        <w:pStyle w:val="Date"/>
      </w:pPr>
      <w:r>
        <w:t xml:space="preserve">2026-06-24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This report is a Quarto starter template. Replace the demo data import in</w:t>
      </w:r>
      <w:r>
        <w:t xml:space="preserve"> </w:t>
      </w:r>
      <w:r>
        <w:rPr>
          <w:rStyle w:val="VerbatimChar"/>
        </w:rPr>
        <w:t xml:space="preserve">global.R</w:t>
      </w:r>
      <w:r>
        <w:t xml:space="preserve">, update</w:t>
      </w:r>
      <w:r>
        <w:t xml:space="preserve"> </w:t>
      </w:r>
      <w:r>
        <w:rPr>
          <w:rStyle w:val="VerbatimChar"/>
        </w:rPr>
        <w:t xml:space="preserve">varlist</w:t>
      </w:r>
      <w:r>
        <w:t xml:space="preserve">, and rerun this document.</w:t>
      </w:r>
    </w:p>
    <w:bookmarkEnd w:id="9"/>
    <w:bookmarkStart w:id="11" w:name="baseline-characteristics"/>
    <w:p>
      <w:pPr>
        <w:pStyle w:val="Heading1"/>
      </w:pPr>
      <w:r>
        <w:t xml:space="preserve">2. Baseline Characteristics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baseli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3726"/>
              <w:gridCol w:w="1080"/>
              <w:gridCol w:w="1994"/>
              <w:gridCol w:w="1924"/>
              <w:gridCol w:w="1110"/>
              <w:gridCol w:w="1080"/>
            </w:tblGrid>
            <w:tr>
              <w:trPr>
                <w:trHeight w:val="624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Sex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Male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Female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sig</w:t>
                  </w:r>
                </w:p>
              </w:tc>
            </w:tr>
            <w:tr>
              <w:trPr>
                <w:trHeight w:val="577" w:hRule="auto"/>
              </w:trPr>
              body 1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138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90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3" w:hRule="auto"/>
              </w:trPr>
              body 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Age (years)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63.34 ± 9.14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61.08 ± 8.85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0.064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3" w:hRule="auto"/>
              </w:trPr>
              body 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Age &gt;= 65 years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71 (51.4)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57 (63.3)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0.103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7" w:hRule="auto"/>
              </w:trPr>
              body 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67 (48.6)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33 (36.7)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body 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ECOG performance status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36 (26.3)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27 (30.0)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0.823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7" w:hRule="auto"/>
              </w:trPr>
              body 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71 (51.8)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42 (46.7)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7" w:hRule="auto"/>
              </w:trPr>
              body 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29 (21.2)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21 (23.3)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7" w:hRule="auto"/>
              </w:trPr>
              body 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 1 ( 0.7)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 0 ( 0.0)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7" w:hRule="auto"/>
              </w:trPr>
              body 9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ECOG &gt;= 2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107 (78.1)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69 (76.7)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0.928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7" w:hRule="auto"/>
              </w:trPr>
              body10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30 (21.9)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21 (23.3)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body11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Weight loss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11.22 ± 12.98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7.77 ± 13.18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0.060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body12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Weight loss &gt;= 10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66 (51.6)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55 (64.0)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0.099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7" w:hRule="auto"/>
              </w:trPr>
              body13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62 (48.4) 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31 (36.0) 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footer 1
              <w:tc>
                <w:tcPr>
                  <w:gridSpan w:val="6"/>
                  <w:tcBorders>
                    <w:bottom w:val="none" w:sz="0" w:space="0" w:color="FFFFFF"/>
                    <w:top w:val="single" w:sz="12" w:space="0" w:color="666666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Values are median (IQR) or n (%). P by Wilcoxon rank-sum test for continuous variables and Chi-squared or Fisher's exact test for categorical variables.</w:t>
                  </w:r>
                </w:p>
              </w:tc>
            </w:tr>
          </w:tbl>
          <w:bookmarkEnd w:id="10"/>
        </w:tc>
      </w:tr>
    </w:tbl>
    <w:bookmarkEnd w:id="11"/>
    <w:bookmarkStart w:id="17" w:name="survival-analysis"/>
    <w:p>
      <w:pPr>
        <w:pStyle w:val="Heading1"/>
      </w:pPr>
      <w:r>
        <w:t xml:space="preserve">3. Survival Analysis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cox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648"/>
              <w:gridCol w:w="2752"/>
              <w:gridCol w:w="1910"/>
              <w:gridCol w:w="2752"/>
              <w:gridCol w:w="1690"/>
            </w:tblGrid>
            <w:tr>
              <w:trPr>
                <w:trHeight w:val="624" w:hRule="auto"/>
                <w:tblHeader/>
              </w:trPr>
              header1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crude HR(95%CI)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crude P value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adj. HR(95%CI)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adj. P value</w:t>
                  </w:r>
                </w:p>
              </w:tc>
            </w:tr>
            <w:tr>
              <w:trPr>
                <w:trHeight w:val="607" w:hRule="auto"/>
              </w:trPr>
              body1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sex: Female vs Male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0.588 (0.424,0.816)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0.0015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0.558 (0.396,0.788)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 0.001</w:t>
                  </w:r>
                </w:p>
              </w:tc>
            </w:tr>
            <w:tr>
              <w:trPr>
                <w:trHeight w:val="607" w:hRule="auto"/>
              </w:trPr>
              body2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1.019 (1.001,1.037)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1.013 (0.994,1.033)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0.1755</w:t>
                  </w:r>
                </w:p>
              </w:tc>
            </w:tr>
            <w:tr>
              <w:trPr>
                <w:trHeight w:val="624" w:hRule="auto"/>
              </w:trPr>
              body3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ph.ecog: ref.=0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7" w:hRule="auto"/>
              </w:trPr>
              body4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1.446 (0.98,2.134)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0.0634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1.584 (1.053,2.382)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0.0273</w:t>
                  </w:r>
                </w:p>
              </w:tc>
            </w:tr>
            <w:tr>
              <w:trPr>
                <w:trHeight w:val="607" w:hRule="auto"/>
              </w:trPr>
              body5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(1.61,3.883)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 0.001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2.731 (1.664,4.483)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 0.001</w:t>
                  </w:r>
                </w:p>
              </w:tc>
            </w:tr>
            <w:tr>
              <w:trPr>
                <w:trHeight w:val="607" w:hRule="auto"/>
              </w:trPr>
              body6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 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9.097 (1.218,67.937)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8.686 (1.135,66.457)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0.0373</w:t>
                  </w:r>
                </w:p>
              </w:tc>
            </w:tr>
            <w:tr>
              <w:trPr>
                <w:trHeight w:val="607" w:hRule="auto"/>
              </w:trPr>
              body7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wt.loss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1.001 (0.989,1.013)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0.8282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0.991 (0.978,1.004)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0.1749</w:t>
                  </w:r>
                </w:p>
              </w:tc>
            </w:tr>
            <w:tr>
              <w:trPr>
                <w:trHeight w:val="360" w:hRule="auto"/>
              </w:trPr>
              footer1
              <w:tc>
                <w:tcPr>
                  <w:gridSpan w:val="5"/>
                  <w:tcBorders>
                    <w:bottom w:val="none" w:sz="0" w:space="0" w:color="FFFFFF"/>
                    <w:top w:val="single" w:sz="12" w:space="0" w:color="666666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pstlname="Normal"/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Hazard ratios and 95% confidence intervals were estimated using Cox proportional hazards regression.</w:t>
                  </w:r>
                </w:p>
              </w:tc>
            </w:tr>
          </w:tbl>
          <w:bookmarkEnd w:id="1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km"/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km-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Kaplan-Meier curve by sex</w:t>
            </w:r>
          </w:p>
          <w:bookmarkEnd w:id="16"/>
        </w:tc>
      </w:tr>
    </w:tbl>
    <w:bookmarkEnd w:id="17"/>
    <w:bookmarkStart w:id="18" w:name="result-summary"/>
    <w:p>
      <w:pPr>
        <w:pStyle w:val="Heading1"/>
      </w:pPr>
      <w:r>
        <w:t xml:space="preserve">4. Result Summary</w:t>
      </w:r>
    </w:p>
    <w:p>
      <w:pPr>
        <w:pStyle w:val="Compact"/>
        <w:numPr>
          <w:ilvl w:val="0"/>
          <w:numId w:val="1001"/>
        </w:numPr>
      </w:pPr>
      <w:r>
        <w:t xml:space="preserve">Replace this section with the main numerical findings after checking the final tables.</w:t>
      </w:r>
    </w:p>
    <w:p>
      <w:pPr>
        <w:pStyle w:val="Compact"/>
        <w:numPr>
          <w:ilvl w:val="0"/>
          <w:numId w:val="1001"/>
        </w:numPr>
      </w:pPr>
      <w:r>
        <w:t xml:space="preserve">Keep interpretation consistent with the model and endpoint definitions.</w:t>
      </w:r>
    </w:p>
    <w:p>
      <w:pPr>
        <w:pStyle w:val="Compact"/>
        <w:numPr>
          <w:ilvl w:val="0"/>
          <w:numId w:val="1001"/>
        </w:numPr>
      </w:pPr>
      <w:r>
        <w:t xml:space="preserve">Exported files are saved as</w:t>
      </w:r>
      <w:r>
        <w:t xml:space="preserve"> </w:t>
      </w:r>
      <w:r>
        <w:rPr>
          <w:rStyle w:val="VerbatimChar"/>
        </w:rPr>
        <w:t xml:space="preserve">Tables.xlsx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Figures.pptx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analysis.R</w:t>
      </w:r>
      <w:r>
        <w:t xml:space="preserve"> </w:t>
      </w:r>
      <w:r>
        <w:t xml:space="preserve">is sourced.</w:t>
      </w:r>
    </w:p>
    <w:bookmarkEnd w:id="18"/>
    <w:bookmarkStart w:id="19" w:name="statistical-analysis"/>
    <w:p>
      <w:pPr>
        <w:pStyle w:val="Heading1"/>
      </w:pPr>
      <w:r>
        <w:t xml:space="preserve">5. Statistical Analysis</w:t>
      </w:r>
    </w:p>
    <w:p>
      <w:pPr>
        <w:pStyle w:val="FirstParagraph"/>
      </w:pPr>
      <w:r>
        <w:t xml:space="preserve">Baseline characteristics were summarized as median (interquartile range) for continuous variables and number (percentage) for categorical variables. Continuous variables were compared using the Wilcoxon rank-sum test, and categorical variables were compared using the chi-squared test or Fisher’s exact test, as appropriate. Time-to-event outcomes were analyzed using Kaplan-Meier curves and compared using the log-rank test. Hazard ratios and 95% confidence intervals were estimated using Cox proportional hazards regression.</w:t>
      </w:r>
    </w:p>
    <w:p>
      <w:pPr>
        <w:pStyle w:val="BodyText"/>
      </w:pPr>
      <w:r>
        <w:t xml:space="preserve">All analyses were performed using R 4.5.2 (R Foundation for Statistical Computing, Vienna, Austria).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Analysis Report</dc:title>
  <dc:creator>Zarathu</dc:creator>
  <cp:keywords/>
  <dcterms:created xsi:type="dcterms:W3CDTF">2026-06-24T07:33:18Z</dcterms:created>
  <dcterms:modified xsi:type="dcterms:W3CDTF">2026-06-24T07:33:18Z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2026-06-24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Quarto starter template</vt:lpwstr>
  </property>
  <property fmtid="{D5CDD505-2E9C-101B-9397-08002B2CF9AE}" pid="13" name="toc-title">
    <vt:lpwstr>Table of contents</vt:lpwstr>
  </property>
</Properties>
</file>