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Відокремлений структурний підрозділ</w:t>
        <w:br/>
        <w:t>«Економіко-технологічний фаховий коледж</w:t>
        <w:br/>
        <w:t>Херсонського національного технічного університету»</w:t>
      </w:r>
    </w:p>
    <w:p>
      <w:pPr>
        <w:keepNext w:val="0"/>
        <w:keepLines/>
        <w:spacing w:before="0" w:after="1460" w:line="20" w:lineRule="exact"/>
        <w:jc w:val="center"/>
      </w:pPr>
      <w:r>
        <w:rPr>
          <w:rFonts w:ascii="Times New Roman" w:hAnsi="Times New Roman"/>
          <w:b w:val="0"/>
          <w:color w:val="000000"/>
          <w:sz w:val="2"/>
        </w:rPr>
      </w:r>
    </w:p>
    <w:p>
      <w:pPr>
        <w:pStyle w:val="Title"/>
        <w:keepNext w:val="0"/>
        <w:keepLines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ПРАКТИЧНА РОБОТА № 3</w:t>
      </w:r>
    </w:p>
    <w:p>
      <w:pPr>
        <w:keepNext w:val="0"/>
        <w:keepLines/>
        <w:spacing w:before="20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з дисципліни «Проєктний практикум»</w:t>
      </w:r>
    </w:p>
    <w:p>
      <w:pPr>
        <w:keepNext w:val="0"/>
        <w:keepLines/>
        <w:spacing w:before="30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Тема: «Проєктування архітектури даних та інтерфейсу»</w:t>
      </w:r>
    </w:p>
    <w:p>
      <w:pPr>
        <w:keepNext w:val="0"/>
        <w:keepLines/>
        <w:spacing w:before="16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Проєкт «EasyStock»</w:t>
      </w:r>
    </w:p>
    <w:p>
      <w:pPr>
        <w:keepNext w:val="0"/>
        <w:keepLines/>
        <w:spacing w:before="1800" w:after="0" w:line="240" w:lineRule="auto"/>
        <w:ind w:left="4320"/>
        <w:jc w:val="right"/>
      </w:pPr>
      <w:r>
        <w:rPr>
          <w:rFonts w:ascii="Times New Roman" w:hAnsi="Times New Roman"/>
          <w:b w:val="0"/>
          <w:color w:val="000000"/>
          <w:sz w:val="28"/>
        </w:rPr>
        <w:t>Виконав:</w:t>
        <w:br/>
        <w:t>студент групи 3ІПЗс-24</w:t>
        <w:br/>
        <w:t>Бондаренко Сергій</w:t>
      </w:r>
    </w:p>
    <w:p>
      <w:pPr>
        <w:keepNext w:val="0"/>
        <w:keepLines/>
        <w:spacing w:before="160" w:after="0" w:line="240" w:lineRule="auto"/>
        <w:ind w:left="4320"/>
        <w:jc w:val="right"/>
      </w:pPr>
      <w:r>
        <w:rPr>
          <w:rFonts w:ascii="Times New Roman" w:hAnsi="Times New Roman"/>
          <w:b w:val="0"/>
          <w:color w:val="000000"/>
          <w:sz w:val="28"/>
        </w:rPr>
        <w:t>Перевірив:</w:t>
        <w:br/>
        <w:t>Ігор Косенко</w:t>
      </w:r>
    </w:p>
    <w:p>
      <w:r>
        <w:br w:type="page"/>
      </w:r>
    </w:p>
    <w:p>
      <w:pPr>
        <w:pStyle w:val="Heading1"/>
      </w:pPr>
      <w:r>
        <w:t>Мета вимоги та контекст системи</w:t>
      </w:r>
    </w:p>
    <w:p>
      <w:r>
        <w:t>Я самостійно спроєктував архітектуру, модель даних, прототип і два ADR для EasyStock. Головне рішення — модульний Flask застосунок з React інтерфейсом і однією транзакцією для зміни залишку та аудиту.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680"/>
        <w:gridCol w:w="5256"/>
      </w:tblGrid>
      <w:tr>
        <w:trPr>
          <w:cantSplit/>
          <w:tblHeader w:val="true"/>
        </w:trPr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Вимоги що визначають проєктування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Архітектурний наслідок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US-01 вхід; NFR-03 доступ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Auth і серверні сеанси; контроль ролей на API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US-03 пошук; NFR-01 швидкодія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Пошукове поле casefold, пагінація, індекси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US-08/09 операції; NFR-02 цілісність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Stock Service, умовний UPDATE, транзакція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US-11 історія; NFR-06 аудит</w:t>
            </w:r>
          </w:p>
        </w:tc>
        <w:tc>
          <w:tcPr>
            <w:tcW w:type="dxa" w:w="52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Незмінні через API записи StockMovement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610451"/>
            <wp:docPr id="1" name="Picture 1" descr="Рисунок 1. Контекст EasyStock як єдиної систем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DejaVu Serif" w:hAnsi="DejaVu Serif"/>
          <w:b w:val="0"/>
          <w:color w:val="000000"/>
          <w:sz w:val="19"/>
        </w:rPr>
        <w:t>Рисунок 1. Контекст EasyStock як єдиної системи.</w:t>
      </w:r>
    </w:p>
    <w:p>
      <w:r>
        <w:rPr>
          <w:rFonts w:ascii="DejaVu Serif" w:hAnsi="DejaVu Serif"/>
          <w:b w:val="0"/>
          <w:color w:val="000000"/>
          <w:sz w:val="20"/>
        </w:rPr>
        <w:t>Постачальник є записом довідника, а не підключеним зовнішнім сервісом. SQLite і API належать внутрішній реалізації й не показані як зовнішні системи на контекстній схемі.</w:t>
      </w:r>
    </w:p>
    <w:p>
      <w:r>
        <w:br w:type="page"/>
      </w:r>
    </w:p>
    <w:p>
      <w:pPr>
        <w:pStyle w:val="Heading1"/>
      </w:pPr>
      <w:r>
        <w:t>Компоненти та розгортання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09160" cy="4609595"/>
            <wp:docPr id="2" name="Picture 2" descr="Рисунок 2. Сім логічних компонентів і локальне розгортанн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609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DejaVu Serif" w:hAnsi="DejaVu Serif"/>
          <w:b w:val="0"/>
          <w:color w:val="000000"/>
          <w:sz w:val="19"/>
        </w:rPr>
        <w:t>Рисунок 2. Сім логічних компонентів і локальне розгортання.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92"/>
        <w:gridCol w:w="7344"/>
      </w:tblGrid>
      <w:tr>
        <w:trPr>
          <w:cantSplit/>
          <w:tblHeader w:val="true"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Відповідальність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React UI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Навігація, форми, введення та стани відповіді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Auth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Сеанс, CSRF і перевірка ролі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Products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Каталог, пошук, категорії та постачальники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Stock Service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Валідація операції, баланс, документ і аудит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Admin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Користувачі, роль, пароль і блокування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Data layer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SQLAlchemy моделі, запити та транзакції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SQLite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Збереження, FK, UNIQUE, CHECK, WAL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rPr>
          <w:rFonts w:ascii="DejaVu Serif" w:hAnsi="DejaVu Serif"/>
          <w:b w:val="0"/>
          <w:color w:val="000000"/>
          <w:sz w:val="20"/>
        </w:rPr>
        <w:t>Це логічні компоненти модульного моноліту, а не окремі мережеві сервіси. У production збірці Waitress запускає Flask, який віддає API і frontend/dist з одного origin. У розробці Vite проксіює /api до Flask.</w:t>
      </w:r>
    </w:p>
    <w:p>
      <w:r>
        <w:br w:type="page"/>
      </w:r>
    </w:p>
    <w:p>
      <w:pPr>
        <w:pStyle w:val="Heading1"/>
      </w:pPr>
      <w:r>
        <w:t>Критичний сценарій списання</w:t>
      </w:r>
    </w:p>
    <w:p>
      <w:r>
        <w:rPr>
          <w:rFonts w:ascii="DejaVu Serif" w:hAnsi="DejaVu Serif"/>
          <w:b w:val="0"/>
          <w:color w:val="000000"/>
          <w:sz w:val="21"/>
        </w:rPr>
        <w:t>Передумова: комірник авторизований; SSD-480 після надходження має 37 одиниць. Основний потік списує 3 до залишку 34. Альтернативний потік намагається списати 40 і зберігає дані без зміни.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5466942"/>
            <wp:docPr id="3" name="Picture 3" descr="Рисунок 3. Списання з відхиленням надмірної кількості і успішним виправлення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466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DejaVu Serif" w:hAnsi="DejaVu Serif"/>
          <w:b w:val="0"/>
          <w:color w:val="000000"/>
          <w:sz w:val="19"/>
        </w:rPr>
        <w:t>Рисунок 3. Списання з відхиленням надмірної кількості і успішним виправленням.</w:t>
      </w:r>
    </w:p>
    <w:p>
      <w:r>
        <w:rPr>
          <w:rFonts w:ascii="DejaVu Serif" w:hAnsi="DejaVu Serif"/>
          <w:b w:val="0"/>
          <w:color w:val="000000"/>
          <w:sz w:val="21"/>
        </w:rPr>
        <w:t>API перевіряє роль, CSRF, активний товар і цілу додатну кількість. Умовний SQL decrement змінює залишок лише за достатньої наявності. Рух записується у тій самій транзакції; помилка до commit викликає rollback.</w:t>
      </w:r>
    </w:p>
    <w:p>
      <w:r>
        <w:rPr>
          <w:rFonts w:ascii="DejaVu Serif" w:hAnsi="DejaVu Serif"/>
          <w:b w:val="0"/>
          <w:color w:val="000000"/>
          <w:sz w:val="20"/>
        </w:rPr>
        <w:t>За втрати відповіді після commit користувачеві потрібно звірити історію перед повтором. Ідемпотентний ключ повторного POST у поточній версії не реалізовано.</w:t>
      </w:r>
    </w:p>
    <w:p>
      <w:r>
        <w:br w:type="page"/>
      </w:r>
    </w:p>
    <w:p>
      <w:pPr>
        <w:pStyle w:val="Heading1"/>
      </w:pPr>
      <w:r>
        <w:t>ER модель даних</w:t>
      </w:r>
    </w:p>
    <w:p>
      <w:r>
        <w:rPr>
          <w:rFonts w:ascii="DejaVu Serif" w:hAnsi="DejaVu Serif"/>
          <w:b w:val="0"/>
          <w:color w:val="000000"/>
          <w:sz w:val="21"/>
        </w:rPr>
        <w:t>Модель містить 9 сутностей. PK, FK і унікальність відповідають фактичним SQLAlchemy моделям та database/schema.sql. Обов’язковість і кардинальності пояснено на наступній сторінці.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5979223"/>
            <wp:docPr id="4" name="Picture 4" descr="Рисунок 4. ER схема з напрямком FK до батьківської таблиці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97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DejaVu Serif" w:hAnsi="DejaVu Serif"/>
          <w:b w:val="0"/>
          <w:color w:val="000000"/>
          <w:sz w:val="19"/>
        </w:rPr>
        <w:t>Рисунок 4. ER схема з напрямком FK до батьківської таблиці.</w:t>
      </w:r>
    </w:p>
    <w:p>
      <w:r>
        <w:rPr>
          <w:rFonts w:ascii="DejaVu Serif" w:hAnsi="DejaVu Serif"/>
          <w:b w:val="0"/>
          <w:color w:val="000000"/>
          <w:sz w:val="20"/>
        </w:rPr>
        <w:t>Довідкова ціна товару і закупівельна ціна позиції надходження зберігаються окремо у цілих копійках. Історія містить залишок після операції для перевірки результату.</w:t>
      </w:r>
    </w:p>
    <w:p>
      <w:r>
        <w:br w:type="page"/>
      </w:r>
    </w:p>
    <w:p>
      <w:pPr>
        <w:pStyle w:val="Heading1"/>
      </w:pPr>
      <w:r>
        <w:t>Словник сутностей та зв’язків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02"/>
        <w:gridCol w:w="7834"/>
      </w:tblGrid>
      <w:tr>
        <w:trPr>
          <w:cantSplit/>
          <w:tblHeader w:val="true"/>
        </w:trPr>
        <w:tc>
          <w:tcPr>
            <w:tcW w:type="dxa" w:w="2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Сутність</w:t>
            </w:r>
          </w:p>
        </w:tc>
        <w:tc>
          <w:tcPr>
            <w:tcW w:type="dxa" w:w="78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Призначення та суттєві обмеження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users</w:t>
            </w:r>
          </w:p>
        </w:tc>
        <w:tc>
          <w:tcPr>
            <w:tcW w:type="dxa" w:w="78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Працівник; email UNIQUE; password_hash; role ∈ admin, keeper, manager; active.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auth_sessions</w:t>
            </w:r>
          </w:p>
        </w:tc>
        <w:tc>
          <w:tcPr>
            <w:tcW w:type="dxa" w:w="78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Серверний сеанс; SHA-256 token_hash PK; user_id NOT NULL; csrf; expires_at.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categories</w:t>
            </w:r>
          </w:p>
        </w:tc>
        <w:tc>
          <w:tcPr>
            <w:tcW w:type="dxa" w:w="78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Категорія; name і casefold name_key UNIQUE.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suppliers</w:t>
            </w:r>
          </w:p>
        </w:tc>
        <w:tc>
          <w:tcPr>
            <w:tcW w:type="dxa" w:w="78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Постачальник; назва і контакти. Не є зовнішньою інтеграцією.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products</w:t>
            </w:r>
          </w:p>
        </w:tc>
        <w:tc>
          <w:tcPr>
            <w:tcW w:type="dxa" w:w="78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SKU UNIQUE; обов’язкова категорія; optional постачальник; price_cents і min_stock ≥0.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stock</w:t>
            </w:r>
          </w:p>
        </w:tc>
        <w:tc>
          <w:tcPr>
            <w:tcW w:type="dxa" w:w="78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Один баланс на товар; product_id UNIQUE і NOT NULL; quantity ≥0.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receipts</w:t>
            </w:r>
          </w:p>
        </w:tc>
        <w:tc>
          <w:tcPr>
            <w:tcW w:type="dxa" w:w="78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Документ надходження; автор обов’язковий, постачальник optional; дата і note.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receipt_items</w:t>
            </w:r>
          </w:p>
        </w:tc>
        <w:tc>
          <w:tcPr>
            <w:tcW w:type="dxa" w:w="78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Позиція документа; товар і receipt обов’язкові; quantity &gt;0; price_cents ≥0.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stock_movements</w:t>
            </w:r>
          </w:p>
        </w:tc>
        <w:tc>
          <w:tcPr>
            <w:tcW w:type="dxa" w:w="78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Рух; товар і автор обов’язкові; receipt optional; quantity &gt;0; balance_after ≥0.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76"/>
        <w:gridCol w:w="3139"/>
        <w:gridCol w:w="6221"/>
      </w:tblGrid>
      <w:tr>
        <w:trPr>
          <w:cantSplit/>
          <w:tblHeader w:val="true"/>
        </w:trPr>
        <w:tc>
          <w:tcPr>
            <w:tcW w:type="dxa" w:w="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18"/>
              </w:rPr>
              <w:t>№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8"/>
              </w:rPr>
              <w:t>Зв’язок</w:t>
            </w:r>
          </w:p>
        </w:tc>
        <w:tc>
          <w:tcPr>
            <w:tcW w:type="dxa" w:w="62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8"/>
              </w:rPr>
              <w:t>Кардинальність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categories → products</w:t>
            </w:r>
          </w:p>
        </w:tc>
        <w:tc>
          <w:tcPr>
            <w:tcW w:type="dxa" w:w="62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 категорія : 0..* товарів; товар має 1 категорію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suppliers → products</w:t>
            </w:r>
          </w:p>
        </w:tc>
        <w:tc>
          <w:tcPr>
            <w:tcW w:type="dxa" w:w="62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 постачальник : 0..* товарів; товар має 0..1 постачальника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products → stock</w:t>
            </w:r>
          </w:p>
        </w:tc>
        <w:tc>
          <w:tcPr>
            <w:tcW w:type="dxa" w:w="62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 товар : 0..1 рядок БД; застосунок створює рівно 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users → auth_sessions</w:t>
            </w:r>
          </w:p>
        </w:tc>
        <w:tc>
          <w:tcPr>
            <w:tcW w:type="dxa" w:w="62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 працівник : 0..* сеансів; сеанс має 1 працівника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suppliers → receipts</w:t>
            </w:r>
          </w:p>
        </w:tc>
        <w:tc>
          <w:tcPr>
            <w:tcW w:type="dxa" w:w="62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 постачальник : 0..* документів; документ має 0..1 постачальника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users → receipts</w:t>
            </w:r>
          </w:p>
        </w:tc>
        <w:tc>
          <w:tcPr>
            <w:tcW w:type="dxa" w:w="62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 працівник : 0..* документів; документ має 1 автора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receipts → receipt_items</w:t>
            </w:r>
          </w:p>
        </w:tc>
        <w:tc>
          <w:tcPr>
            <w:tcW w:type="dxa" w:w="62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 документ : 0..* рядків БД; API вимагає 1–50 позицій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products → receipt_items</w:t>
            </w:r>
          </w:p>
        </w:tc>
        <w:tc>
          <w:tcPr>
            <w:tcW w:type="dxa" w:w="62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 товар : 0..* позицій; позиція має 1 товар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products → stock_movements</w:t>
            </w:r>
          </w:p>
        </w:tc>
        <w:tc>
          <w:tcPr>
            <w:tcW w:type="dxa" w:w="62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 товар : 0..* рухів; рух має 1 товар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users → stock_movements</w:t>
            </w:r>
          </w:p>
        </w:tc>
        <w:tc>
          <w:tcPr>
            <w:tcW w:type="dxa" w:w="62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 працівник : 0..* рухів; рух має 1 автора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receipts → stock_movements</w:t>
            </w:r>
          </w:p>
        </w:tc>
        <w:tc>
          <w:tcPr>
            <w:tcW w:type="dxa" w:w="622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8"/>
              </w:rPr>
              <w:t>1 документ : 0..* рухів; рух має 0..1 документ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rPr>
          <w:rFonts w:ascii="DejaVu Serif" w:hAnsi="DejaVu Serif"/>
          <w:b w:val="0"/>
          <w:color w:val="000000"/>
          <w:sz w:val="19"/>
        </w:rPr>
        <w:t>БД не гарантує існування дочірнього stock або хоча б однієї позиції документа; ці нижні межі забезпечує сервіс. Дублі товару в одному надходженні забороняє API, а не UNIQUE пара receipt_id/product_id.</w:t>
      </w:r>
    </w:p>
    <w:p>
      <w:r>
        <w:br w:type="page"/>
      </w:r>
    </w:p>
    <w:p>
      <w:pPr>
        <w:pStyle w:val="Heading1"/>
      </w:pPr>
      <w:r>
        <w:t>Цілісність і трасування вимог</w:t>
      </w:r>
    </w:p>
    <w:p>
      <w:pPr>
        <w:pStyle w:val="Heading2"/>
      </w:pPr>
      <w:r>
        <w:t>Розміщення бізнес правил</w:t>
      </w:r>
    </w:p>
    <w:p>
      <w:r>
        <w:t>UI допомагає ввести дані, але не є джерелом довіри. API перевіряє формат, роль і стан товару; Stock Service визначає допустимість операції; БД виконує умовний UPDATE і перевіряє FK, UNIQUE та CHECK. Залишок, документ, позиції й аудит зберігаються одним commit.</w:t>
      </w:r>
    </w:p>
    <w:p>
      <w:r>
        <w:t>Товари не видаляються разом з історією: адміністратор може архівувати товар лише за нульового залишку. Надходження збільшує кількість атомарним SQL increment; списання використовує WHERE quantity &gt;= requested. За одночасних списань 15 і 15 зі stock 17 проходить лише одне, а кінцевий stock дорівнює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3197"/>
        <w:gridCol w:w="1627"/>
        <w:gridCol w:w="3456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Вимога</w:t>
            </w:r>
          </w:p>
        </w:tc>
        <w:tc>
          <w:tcPr>
            <w:tcW w:type="dxa" w:w="319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Компонент і дані</w:t>
            </w:r>
          </w:p>
        </w:tc>
        <w:tc>
          <w:tcPr>
            <w:tcW w:type="dxa" w:w="16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Екран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Доказ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US-01 / NFR-03</w:t>
            </w:r>
          </w:p>
        </w:tc>
        <w:tc>
          <w:tcPr>
            <w:tcW w:type="dxa" w:w="319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Auth; User, AuthSession</w:t>
            </w:r>
          </w:p>
        </w:tc>
        <w:tc>
          <w:tcPr>
            <w:tcW w:type="dxa" w:w="16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Вхід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auth, expiry, CSRF, logout тести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US-03 / NFR-01</w:t>
            </w:r>
          </w:p>
        </w:tc>
        <w:tc>
          <w:tcPr>
            <w:tcW w:type="dxa" w:w="319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Products; Product.name_search, sku</w:t>
            </w:r>
          </w:p>
        </w:tc>
        <w:tc>
          <w:tcPr>
            <w:tcW w:type="dxa" w:w="16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Товари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Unicode пошук, p95 тест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US-08 / NFR-02</w:t>
            </w:r>
          </w:p>
        </w:tc>
        <w:tc>
          <w:tcPr>
            <w:tcW w:type="dxa" w:w="319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Stock; Stock, Receipt, Item, Movement</w:t>
            </w:r>
          </w:p>
        </w:tc>
        <w:tc>
          <w:tcPr>
            <w:tcW w:type="dxa" w:w="16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Надходження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critical, multi-item, rollback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US-09 / NFR-02 / 05</w:t>
            </w:r>
          </w:p>
        </w:tc>
        <w:tc>
          <w:tcPr>
            <w:tcW w:type="dxa" w:w="319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Stock; Stock і Movement</w:t>
            </w:r>
          </w:p>
        </w:tc>
        <w:tc>
          <w:tcPr>
            <w:tcW w:type="dxa" w:w="16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Списання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negative, concurrent, React DOM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US-11 / NFR-06</w:t>
            </w:r>
          </w:p>
        </w:tc>
        <w:tc>
          <w:tcPr>
            <w:tcW w:type="dxa" w:w="319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Stock history; Movement і User</w:t>
            </w:r>
          </w:p>
        </w:tc>
        <w:tc>
          <w:tcPr>
            <w:tcW w:type="dxa" w:w="162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Історія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author, UTC, filters тести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Права та сеанси</w:t>
      </w:r>
    </w:p>
    <w:p>
      <w:r>
        <w:t>Паролі — scrypt хеші; випадковий токен сеансу передається у HttpOnly/SameSite cookie, у БД зберігається його хеш. Окремий CSRF захищає записи. TTL сеансу — 8 годин; роль читається з БД під час запиту. Вихід або блокування відкликає доступ. У HTTPS розгортанні потрібно ввімкнути secure cookie.</w:t>
      </w:r>
    </w:p>
    <w:p>
      <w:hyperlink r:id="rId16">
        <w:r>
          <w:rPr>
            <w:color w:val="234D77"/>
            <w:u w:val="single"/>
            <w:rFonts w:ascii="DejaVu Serif" w:hAnsi="DejaVu Serif"/>
          </w:rPr>
          <w:t>Схема бази даних</w:t>
        </w:r>
      </w:hyperlink>
    </w:p>
    <w:p>
      <w:hyperlink r:id="rId17">
        <w:r>
          <w:rPr>
            <w:color w:val="234D77"/>
            <w:u w:val="single"/>
            <w:rFonts w:ascii="DejaVu Serif" w:hAnsi="DejaVu Serif"/>
          </w:rPr>
          <w:t>Контракт API</w:t>
        </w:r>
      </w:hyperlink>
    </w:p>
    <w:p>
      <w:r>
        <w:br w:type="page"/>
      </w:r>
    </w:p>
    <w:p>
      <w:pPr>
        <w:pStyle w:val="Heading1"/>
      </w:pPr>
      <w:r>
        <w:t>Переходи прототипу та самоперевірка</w:t>
      </w:r>
    </w:p>
    <w:p>
      <w:r>
        <w:rPr>
          <w:rFonts w:ascii="DejaVu Serif" w:hAnsi="DejaVu Serif"/>
          <w:b w:val="0"/>
          <w:color w:val="000000"/>
          <w:sz w:val="20"/>
        </w:rPr>
        <w:t>Клікабельний прототип docs/Lab3/prototype.html містить вісім екранів: вхід, огляд, каталог, картка товару, надходження, списання, історія та користувачі. Він демонструє навігацію; реальні складські операції виконуються у React застосунку з GitHub.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20"/>
        <w:gridCol w:w="4133"/>
        <w:gridCol w:w="5083"/>
      </w:tblGrid>
      <w:tr>
        <w:trPr>
          <w:cantSplit/>
          <w:tblHeader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Перехід або стан</w:t>
            </w:r>
          </w:p>
        </w:tc>
        <w:tc>
          <w:tcPr>
            <w:tcW w:type="dxa" w:w="50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Очікуваний результат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Вхід → огляд → товари</w:t>
            </w:r>
          </w:p>
        </w:tc>
        <w:tc>
          <w:tcPr>
            <w:tcW w:type="dxa" w:w="50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Авторизований користувач бачить дозволене меню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Пошук SSD-480 → картка</w:t>
            </w:r>
          </w:p>
        </w:tc>
        <w:tc>
          <w:tcPr>
            <w:tcW w:type="dxa" w:w="50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Товар знайдено, у свіжій демобазі stock 17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Картка → надходження 20</w:t>
            </w:r>
          </w:p>
        </w:tc>
        <w:tc>
          <w:tcPr>
            <w:tcW w:type="dxa" w:w="50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Success, новий stock 37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Історія після надходження</w:t>
            </w:r>
          </w:p>
        </w:tc>
        <w:tc>
          <w:tcPr>
            <w:tcW w:type="dxa" w:w="50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Є автор, час, кількість 20 і balance_after 37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Картка → списання 40</w:t>
            </w:r>
          </w:p>
        </w:tc>
        <w:tc>
          <w:tcPr>
            <w:tcW w:type="dxa" w:w="50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Error, stock 37, кількість і коментар збережені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Виправлення на 3 → проведення</w:t>
            </w:r>
          </w:p>
        </w:tc>
        <w:tc>
          <w:tcPr>
            <w:tcW w:type="dxa" w:w="50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Success, stock 34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Вихід → вхід менеджера</w:t>
            </w:r>
          </w:p>
        </w:tc>
        <w:tc>
          <w:tcPr>
            <w:tcW w:type="dxa" w:w="50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Доступне читання, запис через API заборонено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Фактичні результати</w:t>
      </w:r>
    </w:p>
    <w:p>
      <w:r>
        <w:t>Я виконав технічну самоперевірку. На клоні GitHub пройдено 39 API тестів і production збірку. Раніше задокументований React DOM прогін із реальним API перевірив вхід, пошук, надходження, помилкове списання, історію та роль менеджера. У DOM сценарії товар списувався до нуля для перевірки архівації; сценарій 17 → 37 → 34 підтверджено API тестом.</w:t>
      </w:r>
    </w:p>
    <w:p>
      <w:r>
        <w:rPr>
          <w:rFonts w:ascii="DejaVu Serif" w:hAnsi="DejaVu Serif"/>
          <w:b/>
          <w:color w:val="000000"/>
          <w:sz w:val="21"/>
        </w:rPr>
        <w:t>Незалежного людського walkthrough не проведено, час пошуку ≤30 с не виміряно. Chromium/Firefox та візуальну перевірку на мобільному екрані не підтверджено. Я не заявляю ці перевірки завершеними. Інтерфейс потребує окремого локального прогону.</w:t>
      </w:r>
    </w:p>
    <w:p>
      <w:pPr>
        <w:pStyle w:val="Heading2"/>
      </w:pPr>
      <w:r>
        <w:t>Зауваження і зміни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363"/>
        <w:gridCol w:w="5573"/>
      </w:tblGrid>
      <w:tr>
        <w:trPr>
          <w:cantSplit/>
          <w:tblHeader w:val="true"/>
        </w:trPr>
        <w:tc>
          <w:tcPr>
            <w:tcW w:type="dxa" w:w="43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Виявлена проблема або ризик</w:t>
            </w:r>
          </w:p>
        </w:tc>
        <w:tc>
          <w:tcPr>
            <w:tcW w:type="dxa" w:w="55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Опрацювання</w:t>
            </w:r>
          </w:p>
        </w:tc>
      </w:tr>
      <w:tr>
        <w:trPr>
          <w:cantSplit/>
        </w:trPr>
        <w:tc>
          <w:tcPr>
            <w:tcW w:type="dxa" w:w="43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Success зникає під час фонового refresh</w:t>
            </w:r>
          </w:p>
        </w:tc>
        <w:tc>
          <w:tcPr>
            <w:tcW w:type="dxa" w:w="55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Збережено вже завантажений вміст; документовано DOM PASS</w:t>
            </w:r>
          </w:p>
        </w:tc>
      </w:tr>
      <w:tr>
        <w:trPr>
          <w:cantSplit/>
        </w:trPr>
        <w:tc>
          <w:tcPr>
            <w:tcW w:type="dxa" w:w="43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Надмірне списання може змінити stock</w:t>
            </w:r>
          </w:p>
        </w:tc>
        <w:tc>
          <w:tcPr>
            <w:tcW w:type="dxa" w:w="55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Умовний SQL decrement; 409 і незмінна історія; pytest PASS</w:t>
            </w:r>
          </w:p>
        </w:tc>
      </w:tr>
      <w:tr>
        <w:trPr>
          <w:cantSplit/>
        </w:trPr>
        <w:tc>
          <w:tcPr>
            <w:tcW w:type="dxa" w:w="43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Незрозуміло, що може менеджер</w:t>
            </w:r>
          </w:p>
        </w:tc>
        <w:tc>
          <w:tcPr>
            <w:tcW w:type="dxa" w:w="557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Матриця прав, обмеження UI і API; pytest та DOM PASS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br w:type="page"/>
      </w:r>
    </w:p>
    <w:p>
      <w:pPr>
        <w:pStyle w:val="Heading1"/>
      </w:pPr>
      <w:r>
        <w:t>Архітектурні рішення ADR</w:t>
      </w:r>
    </w:p>
    <w:p>
      <w:pPr>
        <w:pStyle w:val="Heading2"/>
      </w:pPr>
      <w:r>
        <w:t>ADR 001 Технологічний стек</w:t>
      </w:r>
    </w:p>
    <w:p>
      <w:r>
        <w:t>Статус: прийнято мною, єдиним автором проєкту. Контекст: невеликий навчальний вебзастосунок, короткий цикл розробки, окремі UI й API та локальна база без зовнішніх сервісів.</w:t>
      </w:r>
    </w:p>
    <w:p>
      <w:r>
        <w:t>Рішення: React + Vite, Flask, Flask-SQLAlchemy/SQLAlchemy та SQLite; готовий SPA віддає Flask з того самого origin; локальний сервер — Waitress. Логічні модулі розміщені в одному backend застосунку.</w:t>
      </w:r>
    </w:p>
    <w:p>
      <w:r>
        <w:t>Альтернативи: Django, Node.js backend або серверний рендеринг. Я не обрав їх у цій версії, щоб зберегти просту структуру і узгодженість із початковим стеком проєкту. Вони можливі для інших умов, але зміна стеку не покращує правило складського балансу сама по собі.</w:t>
      </w:r>
    </w:p>
    <w:p>
      <w:r>
        <w:t>Наслідки: UI та API можна тестувати окремо; у розробці потрібен Vite proxy. SQLite вимагає постійного диска і серіалізує записи. Високе навантаження й міграції існуючої схеми потребують окремого проєктування.</w:t>
      </w:r>
    </w:p>
    <w:p>
      <w:pPr>
        <w:pStyle w:val="Heading2"/>
      </w:pPr>
      <w:r>
        <w:t>ADR 002 Дані транзакції та API</w:t>
      </w:r>
    </w:p>
    <w:p>
      <w:r>
        <w:t>Статус: прийнято мною. Контекст: після операції stock і журнал повинні відповідати одне одному; одночасні запити не повинні створити від’ємну кількість або втратити оновлення.</w:t>
      </w:r>
    </w:p>
    <w:p>
      <w:r>
        <w:t>Рішення: JSON/HTTP API, SQLite як головне сховище, Stock Service з одним commit. Надходження використовує атомарний increment; списання — conditional decrement. Увімкнено foreign_keys, WAL і busy_timeout; дані захищені FK, UNIQUE та CHECK.</w:t>
      </w:r>
    </w:p>
    <w:p>
      <w:r>
        <w:t>Альтернативи: JSON файл, MongoDB, PostgreSQL від початку, читання і перезапис stock у Python. Простий файл не дає необхідних реляційних обмежень; неумовний перезапис може втратити конкурентне оновлення. PostgreSQL доцільно оцінити за більших навантажень.</w:t>
      </w:r>
    </w:p>
    <w:p>
      <w:r>
        <w:t>Наслідки: помилка запису аудиту відкатує операцію; дві надмірні конкурентні спроби не проходять разом. Історія не редагується через API. Невідомий результат POST через втрату мережевої відповіді потребує звірки з історією; автоматичної ідемпотентності немає.</w:t>
      </w:r>
    </w:p>
    <w:p>
      <w:hyperlink r:id="rId26">
        <w:r>
          <w:rPr>
            <w:color w:val="234D77"/>
            <w:u w:val="single"/>
            <w:rFonts w:ascii="DejaVu Serif" w:hAnsi="DejaVu Serif"/>
          </w:rPr>
          <w:t>ADR 001 у репозиторії</w:t>
        </w:r>
      </w:hyperlink>
    </w:p>
    <w:p>
      <w:hyperlink r:id="rId27">
        <w:r>
          <w:rPr>
            <w:color w:val="234D77"/>
            <w:u w:val="single"/>
            <w:rFonts w:ascii="DejaVu Serif" w:hAnsi="DejaVu Serif"/>
          </w:rPr>
          <w:t>ADR 002 у репозиторії</w:t>
        </w:r>
      </w:hyperlink>
    </w:p>
    <w:p>
      <w:r>
        <w:br w:type="page"/>
      </w:r>
    </w:p>
    <w:p>
      <w:pPr>
        <w:pStyle w:val="Heading1"/>
      </w:pPr>
      <w:r>
        <w:t>Висновки і контрольні запитання</w:t>
      </w:r>
    </w:p>
    <w:p>
      <w:r>
        <w:rPr>
          <w:rFonts w:ascii="DejaVu Serif" w:hAnsi="DejaVu Serif"/>
          <w:b/>
          <w:color w:val="000000"/>
          <w:sz w:val="21"/>
        </w:rPr>
        <w:t>Я самостійно узгодив вимоги, компоненти, 9 сутностей і 8 екранів прототипу. Найбільше на проєктування вплинули цілісність stock, серверний доступ і аудит. Ці правила підтверджено тестами. GitHub і публічну дошку задач оформлено. Незалежний walkthrough, вимірювання часу пошуку та перевірка у двох браузерах ще потребують завершення.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7704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Питання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Відповідь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Найсильніша вимога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NFR-02: Stock Service і транзакція об’єднують stock та аудит; це видно на компонентах і сценарії.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Захист даних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FK і UNIQUE захищають зв’язки; CHECK не допускає від’ємний stock; API і сервіс перевіряють додаткові правила.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Альтернативи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Django/Node.js для backend і PostgreSQL для БД; поточні умови дозволяють простий локальний стек.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Повідомлення про помилку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Error називає доступну кількість, зберігає поля і дає змогу виправити число та повторно підтвердити.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Де бізнес правило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UI підказує, API перевіряє доступ і формат, сервіс проводить операцію, БД гарантує атомарність і обмеження.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Новий сервіс або роль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Сервіс додається за межою системи з API адаптером; роль вимагає зміни матриці прав, CHECK і тестів.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Часткова відмова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До commit помилка аудиту веде до rollback. За втрати відповіді після commit потрібно звірити історію перед повтором.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rPr>
          <w:rFonts w:ascii="DejaVu Serif" w:hAnsi="DejaVu Serif"/>
          <w:b w:val="0"/>
          <w:color w:val="000000"/>
          <w:sz w:val="20"/>
        </w:rPr>
        <w:t>У папці docs/Lab3/report-diagrams опубліковано уточнені контекстну, компонентну, ER та sequence діаграми. ER модель містить 9 сутностей, зокрема auth_sessions. Файли можна редагувати у PlantUML.</w:t>
      </w:r>
    </w:p>
    <w:p>
      <w:pPr>
        <w:pStyle w:val="Heading2"/>
      </w:pPr>
      <w:r>
        <w:t>Використані матеріали</w:t>
      </w:r>
    </w:p>
    <w:p>
      <w:r>
        <w:rPr>
          <w:rFonts w:ascii="DejaVu Serif" w:hAnsi="DejaVu Serif"/>
          <w:b w:val="0"/>
          <w:color w:val="000000"/>
          <w:sz w:val="21"/>
        </w:rPr>
        <w:t>Методичні матеріали викладача «Проєктування архітектури даних та інтерфейсу»: розгорнутий текст на 20 сторінках і презентація на 55 сторінках.</w:t>
      </w:r>
    </w:p>
    <w:p>
      <w:r>
        <w:t xml:space="preserve">Код і документація проєкту: </w:t>
      </w:r>
      <w:hyperlink r:id="rId11">
        <w:r>
          <w:rPr>
            <w:color w:val="234D77"/>
            <w:u w:val="single"/>
            <w:rFonts w:ascii="DejaVu Serif" w:hAnsi="DejaVu Serif"/>
          </w:rPr>
          <w:t>https://github.com/chaek438/EasyStock</w:t>
        </w:r>
      </w:hyperlink>
    </w:p>
    <w:p>
      <w:hyperlink r:id="rId28">
        <w:r>
          <w:rPr>
            <w:color w:val="234D77"/>
            <w:u w:val="single"/>
            <w:rFonts w:ascii="DejaVu Serif" w:hAnsi="DejaVu Serif"/>
          </w:rPr>
          <w:t>Перевірений commit 8e8a046cee04</w:t>
        </w:r>
      </w:hyperlink>
    </w:p>
    <w:p>
      <w:hyperlink r:id="rId29">
        <w:r>
          <w:rPr>
            <w:color w:val="234D77"/>
            <w:u w:val="single"/>
            <w:rFonts w:ascii="DejaVu Serif" w:hAnsi="DejaVu Serif"/>
          </w:rPr>
          <w:t>Результати технічних перевірок</w:t>
        </w:r>
      </w:hyperlink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008" w:right="1152" w:bottom="1008" w:left="1152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b w:val="0"/>
        <w:color w:val="000000"/>
        <w:sz w:val="16"/>
      </w:rPr>
      <w:t xml:space="preserve">Виконав: Бондаренко Сергій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/>
        <w:b w:val="0"/>
        <w:color w:val="000000"/>
        <w:sz w:val="28"/>
      </w:rPr>
      <w:t>Хмельницький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DejaVu Sans" w:hAnsi="DejaVu Sans"/>
        <w:b w:val="0"/>
        <w:color w:val="000000"/>
        <w:sz w:val="17"/>
      </w:rPr>
      <w:t>EasyStock   |   Проєктний практикум   |   Робота 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DejaVu Serif" w:hAnsi="DejaVu Serif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 w:before="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64" w:lineRule="auto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haek438/EasyStock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https://github.com/chaek438/EasyStock/blob/main/database/schema.sql" TargetMode="External"/><Relationship Id="rId17" Type="http://schemas.openxmlformats.org/officeDocument/2006/relationships/hyperlink" Target="https://github.com/chaek438/EasyStock/blob/main/docs/API.md" TargetMode="External"/><Relationship Id="rId26" Type="http://schemas.openxmlformats.org/officeDocument/2006/relationships/hyperlink" Target="https://github.com/chaek438/EasyStock/blob/main/docs/adr/ADR-001.md" TargetMode="External"/><Relationship Id="rId27" Type="http://schemas.openxmlformats.org/officeDocument/2006/relationships/hyperlink" Target="https://github.com/chaek438/EasyStock/blob/main/docs/adr/ADR-002.md" TargetMode="External"/><Relationship Id="rId28" Type="http://schemas.openxmlformats.org/officeDocument/2006/relationships/hyperlink" Target="https://github.com/chaek438/EasyStock/commit/8e8a046cee0458019c044e6ca58ae753e6eadadf" TargetMode="External"/><Relationship Id="rId29" Type="http://schemas.openxmlformats.org/officeDocument/2006/relationships/hyperlink" Target="https://github.com/chaek438/EasyStock/blob/main/docs/TESTING.md" TargetMode="External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EasyStock Практична робота 3</dc:title>
  <dc:subject>Проєктування архітектури даних та інтерфейсу</dc:subject>
  <dc:creator>Бондаренко Сергій</dc:creator>
  <cp:keywords/>
  <dc:description>generated by python-docx</dc:description>
  <cp:lastModifiedBy>Бондаренко Сергій</cp:lastModifiedBy>
  <cp:revision>1</cp:revision>
  <dcterms:created xsi:type="dcterms:W3CDTF">2013-12-23T23:15:00Z</dcterms:created>
  <dcterms:modified xsi:type="dcterms:W3CDTF">2013-12-23T23:15:00Z</dcterms:modified>
  <cp:category/>
</cp:coreProperties>
</file>