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NanumMyeongjo" w:cs="Times New Roman"/>
          <w:b/>
          <w:i w:val="0"/>
          <w:color w:val="000000"/>
          <w:sz w:val="36"/>
        </w:rPr>
        <w:t>Parsed-Visual RAG (PV-RAG) 대 VisRAG</w:t>
      </w:r>
    </w:p>
    <w:p>
      <w:pPr>
        <w:spacing w:after="40"/>
        <w:jc w:val="center"/>
      </w:pPr>
      <w:r>
        <w:rPr>
          <w:rFonts w:ascii="Times New Roman" w:hAnsi="Times New Roman" w:eastAsia="NanumMyeongjo" w:cs="Times New Roman"/>
          <w:b w:val="0"/>
          <w:i/>
          <w:color w:val="000000"/>
          <w:sz w:val="22"/>
        </w:rPr>
        <w:t>단일 GPU 환경에서 동일 생성기 통제하의 문서 시각 질의응답 방법론 ablation</w:t>
      </w:r>
    </w:p>
    <w:p>
      <w:pPr>
        <w:spacing w:after="40"/>
        <w:jc w:val="center"/>
      </w:pPr>
      <w:r>
        <w:rPr>
          <w:rFonts w:ascii="Times New Roman" w:hAnsi="Times New Roman" w:eastAsia="NanumMyeongjo" w:cs="Times New Roman"/>
          <w:b w:val="0"/>
          <w:i w:val="0"/>
          <w:color w:val="000000"/>
          <w:sz w:val="20"/>
        </w:rPr>
        <w:t>이채민</w:t>
      </w:r>
    </w:p>
    <w:p>
      <w:pPr>
        <w:spacing w:after="320"/>
        <w:jc w:val="center"/>
      </w:pPr>
      <w:r>
        <w:rPr>
          <w:rFonts w:ascii="Times New Roman" w:hAnsi="Times New Roman" w:eastAsia="NanumMyeongjo" w:cs="Times New Roman"/>
          <w:b w:val="0"/>
          <w:i/>
          <w:color w:val="000000"/>
          <w:sz w:val="20"/>
        </w:rPr>
        <w:t>기술 보고서 · 2026년 6월 5일</w:t>
      </w:r>
    </w:p>
    <w:p>
      <w:pPr>
        <w:spacing w:before="80" w:after="80"/>
        <w:jc w:val="center"/>
        <w:pBdr>
          <w:bottom w:val="single" w:sz="6" w:space="1" w:color="000000"/>
        </w:pBdr>
      </w:pPr>
      <w:r>
        <w:rPr>
          <w:rFonts w:ascii="Times New Roman" w:hAnsi="Times New Roman" w:eastAsia="NanumMyeongjo" w:cs="Times New Roman"/>
          <w:b/>
          <w:i w:val="0"/>
          <w:color w:val="000000"/>
          <w:sz w:val="20"/>
          <w:smallCaps w:val="1"/>
        </w:rPr>
        <w:t>ABSTRACT</w:t>
      </w:r>
    </w:p>
    <w:p>
      <w:pPr>
        <w:spacing w:after="80" w:line="312" w:lineRule="auto"/>
        <w:ind w:left="340" w:right="340" w:firstLine="340"/>
        <w:jc w:val="both"/>
      </w:pPr>
      <w:r>
        <w:rPr>
          <w:rFonts w:ascii="Times New Roman" w:hAnsi="Times New Roman" w:eastAsia="NanumMyeongjo" w:cs="Times New Roman"/>
          <w:b w:val="0"/>
          <w:i w:val="0"/>
          <w:color w:val="000000"/>
          <w:sz w:val="20"/>
        </w:rPr>
        <w:t>본 보고서는 OpenBMB가 제안한 시각 기반 검색-증강 생성 프레임워크 VisRAG[1]의 공개 평가 벤치마크 위에서, 시각 전용 입력을 사용하는 baseline과 본 연구가 제안하는 도메인 비종속 변형 Parsed-Visual RAG(이하 PV-RAG)을 비교한다. PV-RAG는 페이지 이미지를 Upstage Document Parse[5]로 텍스트·표 형태로 변환하여 동일한 시각 언어 모델(Vision-Language Model, VLM)에 원본 이미지와 함께 입력으로 제공하는 방법이다. 실험은 단일 RTX 4060(8 GB VRAM) 환경에서 수행되었고, 생성기는 Qwen2-VL-7B-Instruct[3]를 bitsandbytes NF4 4-bit 양자화[4]로 적재하였다. 4개 데이터셋(InfoVQA, ChartQA, MP-DocVQA, SlideVQA)에 대해 각 첫 100개 질의로 oracle 검색을 사용함으로써 생성 단계의 효과만을 격리하였다. 그 결과 PV-RAG는 시각 전용 baseline 대비 macro 정확도 기준 +36.32%p(0.229 → 0.592)의 향상을 보였으며, 페이지 레이아웃이 답변에 기여하는 MP-DocVQA에서는 파싱 텍스트 단독 ablation 대비 +4.0%p의 추가 이득이 관찰되었다. 본 보고서는 각 방법론의 구조, 파라미터 설정, 코드 설계, 논문과의 일치 및 차이, 그리고 단일 GPU 제약 하에서의 생성기·검색·표본 설계 결정의 정당성을 학술적 관점에서 정리한다.</w:t>
      </w:r>
    </w:p>
    <w:p>
      <w:pPr>
        <w:spacing w:after="0"/>
        <w:pBdr>
          <w:bottom w:val="single" w:sz="6" w:space="1" w:color="000000"/>
        </w:pBdr>
      </w:pPr>
    </w:p>
    <w:p>
      <w:pPr>
        <w:spacing w:before="80" w:after="280"/>
        <w:ind w:left="340" w:right="340"/>
        <w:jc w:val="both"/>
      </w:pPr>
      <w:r>
        <w:rPr>
          <w:rFonts w:ascii="Times New Roman" w:hAnsi="Times New Roman" w:eastAsia="NanumMyeongjo" w:cs="Times New Roman"/>
          <w:b/>
          <w:i/>
          <w:color w:val="000000"/>
          <w:sz w:val="20"/>
        </w:rPr>
        <w:t xml:space="preserve">Index Terms — </w:t>
      </w:r>
      <w:r>
        <w:rPr>
          <w:rFonts w:ascii="Times New Roman" w:hAnsi="Times New Roman" w:eastAsia="NanumMyeongjo" w:cs="Times New Roman"/>
          <w:b w:val="0"/>
          <w:i w:val="0"/>
          <w:color w:val="000000"/>
          <w:sz w:val="20"/>
        </w:rPr>
        <w:t>시각 질의응답, 검색-증강 생성, 문서 이해, 시각 언어 모델, Upstage Document Parse, 양자화 추론, 평가 ablation.</w:t>
      </w:r>
    </w:p>
    <w:p>
      <w:pPr>
        <w:keepNext/>
        <w:spacing w:before="280" w:after="80"/>
      </w:pPr>
      <w:r>
        <w:rPr>
          <w:rFonts w:ascii="Times New Roman" w:hAnsi="Times New Roman" w:eastAsia="NanumMyeongjo" w:cs="Times New Roman"/>
          <w:b/>
          <w:i w:val="0"/>
          <w:color w:val="000000"/>
          <w:sz w:val="26"/>
        </w:rPr>
        <w:t>1. 서론</w:t>
      </w:r>
    </w:p>
    <w:p>
      <w:pPr>
        <w:spacing w:after="80" w:before="0" w:line="324" w:lineRule="auto"/>
        <w:ind w:firstLine="482"/>
        <w:jc w:val="both"/>
      </w:pPr>
      <w:r>
        <w:rPr>
          <w:rFonts w:ascii="Times New Roman" w:hAnsi="Times New Roman" w:eastAsia="NanumMyeongjo" w:cs="Times New Roman"/>
          <w:b w:val="0"/>
          <w:i w:val="0"/>
          <w:color w:val="000000"/>
          <w:sz w:val="21"/>
        </w:rPr>
        <w:t>문서 시각 질의응답(Visual Document Question Answering, VDQA)은 페이지 이미지에 표현된 본문·표·차트·다이어그램으로부터 자연어 질의에 대한 정답을 추출하는 과제이다. 최근에 제안된 VisRAG[1]는 OCR이나 파싱을 거치지 않고 페이지 이미지를 시각 임베딩으로 검색한 후, 시각 언어 모델이 검색된 페이지 이미지로부터 직접 답을 생성하는 파이프라인을 제시한다. 그 동기는 OCR·파싱 단계에서 발생하는 정보 손실—레이아웃, 색상 강조, 그래픽 표현 등—이 답변 품질에 부정적이라는 가설이다.</w:t>
      </w:r>
    </w:p>
    <w:p>
      <w:pPr>
        <w:spacing w:after="80" w:before="0" w:line="324" w:lineRule="auto"/>
        <w:ind w:firstLine="482"/>
        <w:jc w:val="both"/>
      </w:pPr>
      <w:r>
        <w:rPr>
          <w:rFonts w:ascii="Times New Roman" w:hAnsi="Times New Roman" w:eastAsia="NanumMyeongjo" w:cs="Times New Roman"/>
          <w:b w:val="0"/>
          <w:i w:val="0"/>
          <w:color w:val="000000"/>
          <w:sz w:val="21"/>
        </w:rPr>
        <w:t>반면 본 연구진이 선행 연구로 개발한 도메인 특화 RAG 시스템은 동일한 페이지 이미지에 Upstage Document Parse[5]를 적용하여 텍스트·표를 명시적으로 추출하고, 이를 원본 이미지와 함께 시각 언어 모델 입력으로 결합한다. 두 접근은 “파싱에 의한 명시적 텍스트 증거가 시각 전용 입력 대비 답변 품질을 개선하는가”라는 가설에 대해 상반된 입장을 취한다.</w:t>
      </w:r>
    </w:p>
    <w:p>
      <w:pPr>
        <w:spacing w:after="80" w:before="0" w:line="324" w:lineRule="auto"/>
        <w:ind w:firstLine="482"/>
        <w:jc w:val="both"/>
      </w:pPr>
      <w:r>
        <w:rPr>
          <w:rFonts w:ascii="Times New Roman" w:hAnsi="Times New Roman" w:eastAsia="NanumMyeongjo" w:cs="Times New Roman"/>
          <w:b w:val="0"/>
          <w:i w:val="0"/>
          <w:color w:val="000000"/>
          <w:sz w:val="21"/>
        </w:rPr>
        <w:t>본 보고서의 목적은 두 접근을 동일한 데이터셋, 동일한 평가 지표, 동일한 생성기, 동일한 입력 페이지 조건에서 비교하여 evidence 형식(이미지 단독 / 파싱 텍스트 단독 / 둘의 결합)이 정확도에 미치는 영향만을 격리하여 측정하는 것이다. 본 연구는 검색 모델의 차이나 생성 모델의 절대 성능 차이를 다루지 않는다.</w:t>
      </w:r>
    </w:p>
    <w:p>
      <w:pPr>
        <w:spacing w:after="80" w:before="0" w:line="324" w:lineRule="auto"/>
        <w:ind w:firstLine="482"/>
        <w:jc w:val="both"/>
      </w:pPr>
      <w:r>
        <w:rPr>
          <w:rFonts w:ascii="Times New Roman" w:hAnsi="Times New Roman" w:eastAsia="NanumMyeongjo" w:cs="Times New Roman"/>
          <w:b w:val="0"/>
          <w:i w:val="0"/>
          <w:color w:val="000000"/>
          <w:sz w:val="21"/>
        </w:rPr>
        <w:t>또한 비교 대상이 되는 결과 표는 팀 내 사전 자료(docs/VisRAG Multi Page Compression.pptx, slide 10)의 양식을 따른다. 해당 자료의 baseline은 Qwen2-VL-7B를 사용하였으므로, 본 연구도 동일 모델 계열로 생성기를 정렬하여 baseline의 좌표계를 일치시킨다.</w:t>
      </w:r>
    </w:p>
    <w:p>
      <w:pPr>
        <w:keepNext/>
        <w:spacing w:before="200" w:after="80"/>
      </w:pPr>
      <w:r>
        <w:rPr>
          <w:rFonts w:ascii="Times New Roman" w:hAnsi="Times New Roman" w:eastAsia="NanumMyeongjo" w:cs="Times New Roman"/>
          <w:b/>
          <w:i w:val="0"/>
          <w:color w:val="000000"/>
          <w:sz w:val="23"/>
        </w:rPr>
        <w:t>1.1 기여</w:t>
      </w:r>
    </w:p>
    <w:p>
      <w:pPr>
        <w:spacing w:after="80" w:before="0" w:line="324" w:lineRule="auto"/>
      </w:pPr>
      <w:r>
        <w:rPr>
          <w:rFonts w:ascii="Times New Roman" w:hAnsi="Times New Roman" w:eastAsia="NanumMyeongjo" w:cs="Times New Roman"/>
          <w:b w:val="0"/>
          <w:i w:val="0"/>
          <w:color w:val="000000"/>
          <w:sz w:val="21"/>
        </w:rPr>
        <w:t>본 보고서의 기여는 다음과 같다.</w:t>
      </w:r>
    </w:p>
    <w:p>
      <w:pPr>
        <w:spacing w:after="60" w:line="312" w:lineRule="auto"/>
        <w:ind w:left="482" w:hanging="482"/>
        <w:jc w:val="both"/>
      </w:pPr>
      <w:r>
        <w:rPr>
          <w:rFonts w:ascii="Times New Roman" w:hAnsi="Times New Roman" w:eastAsia="NanumMyeongjo" w:cs="Times New Roman"/>
          <w:b w:val="0"/>
          <w:i w:val="0"/>
          <w:color w:val="000000"/>
          <w:sz w:val="21"/>
        </w:rPr>
        <w:t>(1)</w:t>
        <w:tab/>
      </w:r>
      <w:r>
        <w:rPr>
          <w:rFonts w:ascii="Times New Roman" w:hAnsi="Times New Roman" w:eastAsia="NanumMyeongjo" w:cs="Times New Roman"/>
          <w:b w:val="0"/>
          <w:i w:val="0"/>
          <w:color w:val="000000"/>
          <w:sz w:val="21"/>
        </w:rPr>
        <w:t>VisRAG 공식 평가 벤치마크(4개 데이터셋) 위에서, 동일 생성기·동일 oracle 페이지 조건의 generation-only ablation을 통해 evidence 형식의 효과를 정량적으로 측정하였다.</w:t>
      </w:r>
    </w:p>
    <w:p>
      <w:pPr>
        <w:spacing w:after="60" w:line="312" w:lineRule="auto"/>
        <w:ind w:left="482" w:hanging="482"/>
        <w:jc w:val="both"/>
      </w:pPr>
      <w:r>
        <w:rPr>
          <w:rFonts w:ascii="Times New Roman" w:hAnsi="Times New Roman" w:eastAsia="NanumMyeongjo" w:cs="Times New Roman"/>
          <w:b w:val="0"/>
          <w:i w:val="0"/>
          <w:color w:val="000000"/>
          <w:sz w:val="21"/>
        </w:rPr>
        <w:t>(2)</w:t>
        <w:tab/>
      </w:r>
      <w:r>
        <w:rPr>
          <w:rFonts w:ascii="Times New Roman" w:hAnsi="Times New Roman" w:eastAsia="NanumMyeongjo" w:cs="Times New Roman"/>
          <w:b w:val="0"/>
          <w:i w:val="0"/>
          <w:color w:val="000000"/>
          <w:sz w:val="21"/>
        </w:rPr>
        <w:t>Parsed-Visual RAG(PV-RAG)이 시각 전용 baseline 대비 macro 정확도 기준 +36.32%p의 일관된 향상을 달성함을 보였으며, MP-DocVQA에서 파싱 텍스트 단독 ablation 대비 +4.0%p의 상보적 이득을 관찰하였다.</w:t>
      </w:r>
    </w:p>
    <w:p>
      <w:pPr>
        <w:spacing w:after="60" w:line="312" w:lineRule="auto"/>
        <w:ind w:left="482" w:hanging="482"/>
        <w:jc w:val="both"/>
      </w:pPr>
      <w:r>
        <w:rPr>
          <w:rFonts w:ascii="Times New Roman" w:hAnsi="Times New Roman" w:eastAsia="NanumMyeongjo" w:cs="Times New Roman"/>
          <w:b w:val="0"/>
          <w:i w:val="0"/>
          <w:color w:val="000000"/>
          <w:sz w:val="21"/>
        </w:rPr>
        <w:t>(3)</w:t>
        <w:tab/>
      </w:r>
      <w:r>
        <w:rPr>
          <w:rFonts w:ascii="Times New Roman" w:hAnsi="Times New Roman" w:eastAsia="NanumMyeongjo" w:cs="Times New Roman"/>
          <w:b w:val="0"/>
          <w:i w:val="0"/>
          <w:color w:val="000000"/>
          <w:sz w:val="21"/>
        </w:rPr>
        <w:t>단일 8 GB GPU 제약 하에서의 4-bit 양자화 추론과 이미지 해상도 캡 적용이 모드 간 비교의 공정성에 미치는 영향과 한계를 명시적으로 분석하였다.</w:t>
      </w:r>
    </w:p>
    <w:p>
      <w:pPr>
        <w:spacing w:after="60" w:line="312" w:lineRule="auto"/>
        <w:ind w:left="482" w:hanging="482"/>
        <w:jc w:val="both"/>
      </w:pPr>
      <w:r>
        <w:rPr>
          <w:rFonts w:ascii="Times New Roman" w:hAnsi="Times New Roman" w:eastAsia="NanumMyeongjo" w:cs="Times New Roman"/>
          <w:b w:val="0"/>
          <w:i w:val="0"/>
          <w:color w:val="000000"/>
          <w:sz w:val="21"/>
        </w:rPr>
        <w:t>(4)</w:t>
        <w:tab/>
      </w:r>
      <w:r>
        <w:rPr>
          <w:rFonts w:ascii="Times New Roman" w:hAnsi="Times New Roman" w:eastAsia="NanumMyeongjo" w:cs="Times New Roman"/>
          <w:b w:val="0"/>
          <w:i w:val="0"/>
          <w:color w:val="000000"/>
          <w:sz w:val="21"/>
        </w:rPr>
        <w:t>재현성을 위한 단일 명령 파이프라인(scripts/run_today_ppt_pipeline.sh)과 핵심 입력 캐시(약 3.7 MB)를 함께 제공하여, 추가적인 API 호출 없이도 결과 표를 재생성할 수 있도록 하였다.</w:t>
      </w:r>
    </w:p>
    <w:p>
      <w:pPr>
        <w:keepNext/>
        <w:spacing w:before="280" w:after="80"/>
      </w:pPr>
      <w:r>
        <w:rPr>
          <w:rFonts w:ascii="Times New Roman" w:hAnsi="Times New Roman" w:eastAsia="NanumMyeongjo" w:cs="Times New Roman"/>
          <w:b/>
          <w:i w:val="0"/>
          <w:color w:val="000000"/>
          <w:sz w:val="26"/>
        </w:rPr>
        <w:t>2. 관련 연구</w:t>
      </w:r>
    </w:p>
    <w:p>
      <w:pPr>
        <w:spacing w:after="80" w:before="0" w:line="324" w:lineRule="auto"/>
        <w:ind w:firstLine="482"/>
        <w:jc w:val="both"/>
      </w:pPr>
      <w:r>
        <w:rPr>
          <w:rFonts w:ascii="Times New Roman" w:hAnsi="Times New Roman" w:eastAsia="NanumMyeongjo" w:cs="Times New Roman"/>
          <w:b w:val="0"/>
          <w:i w:val="0"/>
          <w:color w:val="000000"/>
          <w:sz w:val="21"/>
        </w:rPr>
        <w:t>문서 VDQA를 위한 검색-증강 생성은 크게 (i) OCR·파싱을 거쳐 텍스트 RAG로 환원하는 접근과 (ii) 페이지 이미지를 그대로 시각 임베딩으로 색인하고 시각 언어 모델이 직접 답을 생성하는 접근으로 구분된다. 전자는 단어·수식·표 등 표면 정보를 정확히 보존할 때 장점을 갖지만 레이아웃·그래픽 정보 손실이 단점이며, 후자는 시각적 단서를 보존하지만 OCR의 정확한 라벨·수치 정보가 모델 내부에서 재추출되어야 한다.</w:t>
      </w:r>
    </w:p>
    <w:p>
      <w:pPr>
        <w:spacing w:after="80" w:before="0" w:line="324" w:lineRule="auto"/>
        <w:ind w:firstLine="482"/>
        <w:jc w:val="both"/>
      </w:pPr>
      <w:r>
        <w:rPr>
          <w:rFonts w:ascii="Times New Roman" w:hAnsi="Times New Roman" w:eastAsia="NanumMyeongjo" w:cs="Times New Roman"/>
          <w:b w:val="0"/>
          <w:i w:val="0"/>
          <w:color w:val="000000"/>
          <w:sz w:val="21"/>
        </w:rPr>
        <w:t>VisRAG[1]는 후자에 해당하며, MiniCPM-V 2.6 등을 generator로 사용하여 4종의 task_type(text, page_concatenation, weighted_selection, multi_image) 입력 형식을 제시한다. 평가 데이터로는 ArxivQA, ChartQA, MP-DocVQA, InfoVQA, PlotQA, SlideVQA 6종의 HuggingFace 공개셋(openbmb/VisRAG-Ret-Test-*)을 사용하며, 검색은 자체 시각 임베딩 모델 VisRAG-Ret으로 수행한다. 본 연구는 동일 데이터·동일 정확도 지표 위에서 generation 단계의 evidence 형식 ablation을 추가로 제공한다.</w:t>
      </w:r>
    </w:p>
    <w:p>
      <w:pPr>
        <w:spacing w:after="80" w:before="0" w:line="324" w:lineRule="auto"/>
        <w:ind w:firstLine="482"/>
        <w:jc w:val="both"/>
      </w:pPr>
      <w:r>
        <w:rPr>
          <w:rFonts w:ascii="Times New Roman" w:hAnsi="Times New Roman" w:eastAsia="NanumMyeongjo" w:cs="Times New Roman"/>
          <w:b w:val="0"/>
          <w:i w:val="0"/>
          <w:color w:val="000000"/>
          <w:sz w:val="21"/>
        </w:rPr>
        <w:t>한편 large vision-language model의 정확도-효율 절충에 관한 연구로 NF4 양자화[4], Qwen2-VL의 임의 해상도 입력 처리[3] 등이 알려져 있다. 본 보고서는 두 기술을 결합하여 8 GB-class GPU에서 7B 시각 언어 모델을 실시간 추론 가능 환경으로 적재하였다.</w:t>
      </w:r>
    </w:p>
    <w:p>
      <w:pPr>
        <w:keepNext/>
        <w:spacing w:before="280" w:after="80"/>
      </w:pPr>
      <w:r>
        <w:rPr>
          <w:rFonts w:ascii="Times New Roman" w:hAnsi="Times New Roman" w:eastAsia="NanumMyeongjo" w:cs="Times New Roman"/>
          <w:b/>
          <w:i w:val="0"/>
          <w:color w:val="000000"/>
          <w:sz w:val="26"/>
        </w:rPr>
        <w:t>3. 평가 데이터셋</w:t>
      </w:r>
    </w:p>
    <w:p>
      <w:pPr>
        <w:spacing w:after="80" w:before="0" w:line="324" w:lineRule="auto"/>
        <w:ind w:firstLine="482"/>
        <w:jc w:val="both"/>
      </w:pPr>
      <w:r>
        <w:rPr>
          <w:rFonts w:ascii="Times New Roman" w:hAnsi="Times New Roman" w:eastAsia="NanumMyeongjo" w:cs="Times New Roman"/>
          <w:b w:val="0"/>
          <w:i w:val="0"/>
          <w:color w:val="000000"/>
          <w:sz w:val="21"/>
        </w:rPr>
        <w:t>본 연구는 VisRAG 공식 평가셋(openbmb/VisRAG-Ret-Test-*) 중 4개 데이터셋을 사용한다. 데이터셋의 선택은 팀 내 사전 자료의 결과 표 컬럼(InfoVQA, ChartQA, DocVQA, SlideVQA)에 정렬되며, 자료의 DocVQA는 공식 명칭 MP-DocVQA에 매핑된다. 각 데이터셋은 queries, corpus, qrels의 세 subset으로 구성되며 본 실험에서는 oracle 검색을 통해 qrels이 직접 페이지 선택에 사용된다.</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FFFFFF"/>
          </w:tcPr>
          <w:p>
            <w:pPr>
              <w:spacing w:after="0" w:before="0"/>
              <w:jc w:val="center"/>
            </w:pPr>
            <w:r>
              <w:rPr>
                <w:rFonts w:ascii="Times New Roman" w:hAnsi="Times New Roman" w:eastAsia="NanumMyeongjo" w:cs="Times New Roman"/>
                <w:b/>
                <w:i w:val="0"/>
                <w:color w:val="000000"/>
                <w:sz w:val="19"/>
              </w:rPr>
              <w:t>Dataset</w:t>
            </w:r>
          </w:p>
        </w:tc>
        <w:tc>
          <w:tcPr>
            <w:tcW w:type="dxa" w:w="1814"/>
            <w:vAlign w:val="center"/>
            <w:shd w:val="clear" w:color="auto" w:fill="FFFFFF"/>
          </w:tcPr>
          <w:p>
            <w:pPr>
              <w:spacing w:after="0" w:before="0"/>
              <w:jc w:val="center"/>
            </w:pPr>
            <w:r>
              <w:rPr>
                <w:rFonts w:ascii="Times New Roman" w:hAnsi="Times New Roman" w:eastAsia="NanumMyeongjo" w:cs="Times New Roman"/>
                <w:b/>
                <w:i w:val="0"/>
                <w:color w:val="000000"/>
                <w:sz w:val="19"/>
              </w:rPr>
              <w:t>queries</w:t>
            </w:r>
          </w:p>
        </w:tc>
        <w:tc>
          <w:tcPr>
            <w:tcW w:type="dxa" w:w="1814"/>
            <w:vAlign w:val="center"/>
            <w:shd w:val="clear" w:color="auto" w:fill="FFFFFF"/>
          </w:tcPr>
          <w:p>
            <w:pPr>
              <w:spacing w:after="0" w:before="0"/>
              <w:jc w:val="center"/>
            </w:pPr>
            <w:r>
              <w:rPr>
                <w:rFonts w:ascii="Times New Roman" w:hAnsi="Times New Roman" w:eastAsia="NanumMyeongjo" w:cs="Times New Roman"/>
                <w:b/>
                <w:i w:val="0"/>
                <w:color w:val="000000"/>
                <w:sz w:val="19"/>
              </w:rPr>
              <w:t>corpus</w:t>
            </w:r>
          </w:p>
        </w:tc>
        <w:tc>
          <w:tcPr>
            <w:tcW w:type="dxa" w:w="1814"/>
            <w:vAlign w:val="center"/>
            <w:shd w:val="clear" w:color="auto" w:fill="FFFFFF"/>
          </w:tcPr>
          <w:p>
            <w:pPr>
              <w:spacing w:after="0" w:before="0"/>
              <w:jc w:val="center"/>
            </w:pPr>
            <w:r>
              <w:rPr>
                <w:rFonts w:ascii="Times New Roman" w:hAnsi="Times New Roman" w:eastAsia="NanumMyeongjo" w:cs="Times New Roman"/>
                <w:b/>
                <w:i w:val="0"/>
                <w:color w:val="000000"/>
                <w:sz w:val="19"/>
              </w:rPr>
              <w:t>qrels</w:t>
            </w:r>
          </w:p>
        </w:tc>
        <w:tc>
          <w:tcPr>
            <w:tcW w:type="dxa" w:w="1814"/>
            <w:vAlign w:val="center"/>
            <w:shd w:val="clear" w:color="auto" w:fill="FFFFFF"/>
          </w:tcPr>
          <w:p>
            <w:pPr>
              <w:spacing w:after="0" w:before="0"/>
              <w:jc w:val="center"/>
            </w:pPr>
            <w:r>
              <w:rPr>
                <w:rFonts w:ascii="Times New Roman" w:hAnsi="Times New Roman" w:eastAsia="NanumMyeongjo" w:cs="Times New Roman"/>
                <w:b/>
                <w:i w:val="0"/>
                <w:color w:val="000000"/>
                <w:sz w:val="19"/>
              </w:rPr>
              <w:t>cache size</w:t>
            </w:r>
          </w:p>
        </w:tc>
      </w:tr>
      <w:tr>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InfoVQA</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718</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459</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718</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173 MB</w:t>
            </w:r>
          </w:p>
        </w:tc>
      </w:tr>
      <w:tr>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ChartQA</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63</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500</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63</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24 MB</w:t>
            </w:r>
          </w:p>
        </w:tc>
      </w:tr>
      <w:tr>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MP-DocVQA</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591</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741</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591</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258 MB</w:t>
            </w:r>
          </w:p>
        </w:tc>
      </w:tr>
      <w:tr>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SlideVQA</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556</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1,284</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702</w:t>
            </w:r>
          </w:p>
        </w:tc>
        <w:tc>
          <w:tcPr>
            <w:tcW w:type="dxa" w:w="1814"/>
            <w:vAlign w:val="center"/>
            <w:shd w:val="clear" w:color="auto" w:fill="FFFFFF"/>
          </w:tcPr>
          <w:p>
            <w:pPr>
              <w:spacing w:after="0" w:before="0"/>
              <w:jc w:val="center"/>
            </w:pPr>
            <w:r>
              <w:rPr>
                <w:rFonts w:ascii="Times New Roman" w:hAnsi="Times New Roman" w:eastAsia="NanumMyeongjo" w:cs="Times New Roman"/>
                <w:b w:val="0"/>
                <w:i w:val="0"/>
                <w:color w:val="000000"/>
                <w:sz w:val="19"/>
              </w:rPr>
              <w:t>100 MB</w:t>
            </w:r>
          </w:p>
        </w:tc>
      </w:tr>
    </w:tbl>
    <w:p>
      <w:pPr>
        <w:spacing w:after="200" w:before="40"/>
        <w:jc w:val="center"/>
      </w:pPr>
      <w:r>
        <w:rPr>
          <w:rFonts w:ascii="Times New Roman" w:hAnsi="Times New Roman" w:eastAsia="NanumMyeongjo" w:cs="Times New Roman"/>
          <w:b/>
          <w:i w:val="0"/>
          <w:color w:val="000000"/>
          <w:sz w:val="19"/>
        </w:rPr>
        <w:t xml:space="preserve">표 1. </w:t>
      </w:r>
      <w:r>
        <w:rPr>
          <w:rFonts w:ascii="Times New Roman" w:hAnsi="Times New Roman" w:eastAsia="NanumMyeongjo" w:cs="Times New Roman"/>
          <w:b w:val="0"/>
          <w:i/>
          <w:color w:val="000000"/>
          <w:sz w:val="19"/>
        </w:rPr>
        <w:t>평가에 사용된 4개 데이터셋의 split 크기와 HuggingFace blob 캐시 용량. SlideVQA의 경우 한 질의가 다수 페이지에 매핑되므로 qrels &gt; queries이다.</w:t>
      </w:r>
    </w:p>
    <w:p>
      <w:pPr>
        <w:spacing w:after="80" w:before="0" w:line="324" w:lineRule="auto"/>
        <w:ind w:firstLine="482"/>
        <w:jc w:val="both"/>
      </w:pPr>
      <w:r>
        <w:rPr>
          <w:rFonts w:ascii="Times New Roman" w:hAnsi="Times New Roman" w:eastAsia="NanumMyeongjo" w:cs="Times New Roman"/>
          <w:b w:val="0"/>
          <w:i w:val="0"/>
          <w:color w:val="000000"/>
          <w:sz w:val="21"/>
        </w:rPr>
        <w:t>표본은 데이터셋당 첫 100개 질의이며, 이에 대응되는 unique gold page만 Upstage 파싱 캐시에 적재된다. InfoVQA의 경우 29건, ChartQA 60건, MP-DocVQA 62건, SlideVQA 97건으로, 총 248개 페이지가 Stage 1에서 파싱되었다.</w:t>
      </w:r>
    </w:p>
    <w:p>
      <w:pPr>
        <w:keepNext/>
        <w:spacing w:before="280" w:after="80"/>
      </w:pPr>
      <w:r>
        <w:rPr>
          <w:rFonts w:ascii="Times New Roman" w:hAnsi="Times New Roman" w:eastAsia="NanumMyeongjo" w:cs="Times New Roman"/>
          <w:b/>
          <w:i w:val="0"/>
          <w:color w:val="000000"/>
          <w:sz w:val="26"/>
        </w:rPr>
        <w:t>4. 방법론</w:t>
      </w:r>
    </w:p>
    <w:p>
      <w:pPr>
        <w:spacing w:after="80" w:before="0" w:line="324" w:lineRule="auto"/>
        <w:ind w:firstLine="482"/>
        <w:jc w:val="both"/>
      </w:pPr>
      <w:r>
        <w:rPr>
          <w:rFonts w:ascii="Times New Roman" w:hAnsi="Times New Roman" w:eastAsia="NanumMyeongjo" w:cs="Times New Roman"/>
          <w:b w:val="0"/>
          <w:i w:val="0"/>
          <w:color w:val="000000"/>
          <w:sz w:val="21"/>
        </w:rPr>
        <w:t>본 비교는 동일한 oracle 페이지에 대해 VLM 입력에 어떤 형식의 evidence가 포함되는가에 따라 세 가지 모드를 정의한다. 모든 모드는 동일한 prompt 골격을 공유하며, evidence 관련 두 슬롯만 모드별로 치환된다. 따라서 모드 간 정확도 차이는 오직 입력 evidence 형식에서 비롯된다.</w:t>
      </w:r>
    </w:p>
    <w:p>
      <w:pPr>
        <w:keepNext/>
        <w:spacing w:before="200" w:after="80"/>
      </w:pPr>
      <w:r>
        <w:rPr>
          <w:rFonts w:ascii="Times New Roman" w:hAnsi="Times New Roman" w:eastAsia="NanumMyeongjo" w:cs="Times New Roman"/>
          <w:b/>
          <w:i w:val="0"/>
          <w:color w:val="000000"/>
          <w:sz w:val="23"/>
        </w:rPr>
        <w:t>4.1 image_only — 시각 전용 baseline</w:t>
      </w:r>
    </w:p>
    <w:p>
      <w:pPr>
        <w:spacing w:after="80" w:before="0" w:line="324" w:lineRule="auto"/>
        <w:ind w:firstLine="482"/>
        <w:jc w:val="both"/>
      </w:pPr>
      <w:r>
        <w:rPr>
          <w:rFonts w:ascii="Times New Roman" w:hAnsi="Times New Roman" w:eastAsia="NanumMyeongjo" w:cs="Times New Roman"/>
          <w:b w:val="0"/>
          <w:i w:val="0"/>
          <w:color w:val="000000"/>
          <w:sz w:val="21"/>
        </w:rPr>
        <w:t>페이지 이미지만을 VLM에 입력하고 파싱 텍스트는 제공하지 않는다. 이는 VisRAG의 핵심 가정(이미지만으로 답한다)을 동일 환경에서 재현한 baseline이다. 단, 본 연구의 image_only는 VisRAG 공식 스크립트(visrag/visrag_scripts/generate/generate.py)를 그대로 실행하지 않고 동일 컨셉을 자체 코드로 재구현한 것이며, 그 차이는 §7.3에서 정리한다.</w:t>
      </w:r>
    </w:p>
    <w:p>
      <w:pPr>
        <w:keepNext/>
        <w:spacing w:before="200" w:after="80"/>
      </w:pPr>
      <w:r>
        <w:rPr>
          <w:rFonts w:ascii="Times New Roman" w:hAnsi="Times New Roman" w:eastAsia="NanumMyeongjo" w:cs="Times New Roman"/>
          <w:b/>
          <w:i w:val="0"/>
          <w:color w:val="000000"/>
          <w:sz w:val="23"/>
        </w:rPr>
        <w:t>4.2 parsed_text_only — 파싱 텍스트 전용 ablation</w:t>
      </w:r>
    </w:p>
    <w:p>
      <w:pPr>
        <w:spacing w:after="80" w:before="0" w:line="324" w:lineRule="auto"/>
        <w:ind w:firstLine="482"/>
        <w:jc w:val="both"/>
      </w:pPr>
      <w:r>
        <w:rPr>
          <w:rFonts w:ascii="Times New Roman" w:hAnsi="Times New Roman" w:eastAsia="NanumMyeongjo" w:cs="Times New Roman"/>
          <w:b w:val="0"/>
          <w:i w:val="0"/>
          <w:color w:val="000000"/>
          <w:sz w:val="21"/>
        </w:rPr>
        <w:t>Upstage Document Parse가 페이지 이미지에서 추출한 평문, 표 마크다운, 표 설명만을 VLM에 입력하고 원본 이미지는 제공하지 않는다. 이 모드는 파싱이 답에 필요한 정보를 충분히 보존하는가를 검증하는 통제군이다. 본 모드가 image_only를 크게 상회하면 파싱의 정보 보존이 충분함을 시사한다.</w:t>
      </w:r>
    </w:p>
    <w:p>
      <w:pPr>
        <w:keepNext/>
        <w:spacing w:before="200" w:after="80"/>
      </w:pPr>
      <w:r>
        <w:rPr>
          <w:rFonts w:ascii="Times New Roman" w:hAnsi="Times New Roman" w:eastAsia="NanumMyeongjo" w:cs="Times New Roman"/>
          <w:b/>
          <w:i w:val="0"/>
          <w:color w:val="000000"/>
          <w:sz w:val="23"/>
        </w:rPr>
        <w:t>4.3 parsed_visual — Parsed-Visual RAG (PV-RAG)</w:t>
      </w:r>
    </w:p>
    <w:p>
      <w:pPr>
        <w:spacing w:after="80" w:before="0" w:line="324" w:lineRule="auto"/>
        <w:ind w:firstLine="482"/>
        <w:jc w:val="both"/>
      </w:pPr>
      <w:r>
        <w:rPr>
          <w:rFonts w:ascii="Times New Roman" w:hAnsi="Times New Roman" w:eastAsia="NanumMyeongjo" w:cs="Times New Roman"/>
          <w:b w:val="0"/>
          <w:i w:val="0"/>
          <w:color w:val="000000"/>
          <w:sz w:val="21"/>
        </w:rPr>
        <w:t>페이지 이미지와 파싱 텍스트·표를 함께 VLM에 입력한다. 본 방법의 가설은 “파싱은 정확한 라벨·수치를 명시적으로 제공하고 이미지는 레이아웃·시각적 강조를 보존하므로, 두 증거가 상보적이라면 결합이 단독 사용보다 우월하다”는 것이다. 이 모드가 본 보고서가 검증하는 PV-RAG 방법론이다.</w:t>
      </w:r>
    </w:p>
    <w:p>
      <w:pPr>
        <w:keepNext/>
        <w:spacing w:before="280" w:after="80"/>
      </w:pPr>
      <w:r>
        <w:rPr>
          <w:rFonts w:ascii="Times New Roman" w:hAnsi="Times New Roman" w:eastAsia="NanumMyeongjo" w:cs="Times New Roman"/>
          <w:b/>
          <w:i w:val="0"/>
          <w:color w:val="000000"/>
          <w:sz w:val="26"/>
        </w:rPr>
        <w:t>5. 시스템 아키텍처</w:t>
      </w:r>
    </w:p>
    <w:p>
      <w:pPr>
        <w:spacing w:after="80" w:before="0" w:line="324" w:lineRule="auto"/>
        <w:ind w:firstLine="482"/>
        <w:jc w:val="both"/>
      </w:pPr>
      <w:r>
        <w:rPr>
          <w:rFonts w:ascii="Times New Roman" w:hAnsi="Times New Roman" w:eastAsia="NanumMyeongjo" w:cs="Times New Roman"/>
          <w:b w:val="0"/>
          <w:i w:val="0"/>
          <w:color w:val="000000"/>
          <w:sz w:val="21"/>
        </w:rPr>
        <w:t>전체 파이프라인은 4단계로 구성되며, 각 단계는 독립적으로 캐시되고 재실행 가능하다.</w:t>
      </w:r>
    </w:p>
    <w:p>
      <w:pPr>
        <w:spacing w:after="120" w:before="80" w:line="264" w:lineRule="auto"/>
        <w:ind w:left="227"/>
        <w:shd w:val="clear" w:color="auto" w:fill="F4F4F0"/>
      </w:pPr>
      <w:r>
        <w:rPr>
          <w:rFonts w:ascii="Consolas" w:hAnsi="Consolas" w:eastAsia="NanumMyeongjo" w:cs="Consolas"/>
          <w:b w:val="0"/>
          <w:i w:val="0"/>
          <w:color w:val="000000"/>
          <w:sz w:val="18"/>
        </w:rPr>
        <w:t>(A) Upstage parse  : corpus 페이지 이미지 → 텍스트·표 cache (JSONL)</w:t>
        <w:br/>
        <w:t>(B) 페이지 선택     : --oracle → qrels gold corpus-id 직접 선택</w:t>
        <w:br/>
        <w:t>(C) Generation     : (이미지 ± 파싱 evidence) → Qwen2-VL-7B → 답변</w:t>
        <w:br/>
        <w:t>(D) 평가 &amp; 표출    : relaxed exact match → PPT slide-10 양식 결과 표</w:t>
      </w:r>
    </w:p>
    <w:p>
      <w:pPr>
        <w:keepNext/>
        <w:spacing w:before="200" w:after="80"/>
      </w:pPr>
      <w:r>
        <w:rPr>
          <w:rFonts w:ascii="Times New Roman" w:hAnsi="Times New Roman" w:eastAsia="NanumMyeongjo" w:cs="Times New Roman"/>
          <w:b/>
          <w:i w:val="0"/>
          <w:color w:val="000000"/>
          <w:sz w:val="23"/>
        </w:rPr>
        <w:t>5.1 Parse cache 설계</w:t>
      </w:r>
    </w:p>
    <w:p>
      <w:pPr>
        <w:spacing w:after="80" w:before="0" w:line="324" w:lineRule="auto"/>
        <w:ind w:firstLine="482"/>
        <w:jc w:val="both"/>
      </w:pPr>
      <w:r>
        <w:rPr>
          <w:rFonts w:ascii="Times New Roman" w:hAnsi="Times New Roman" w:eastAsia="NanumMyeongjo" w:cs="Times New Roman"/>
          <w:b w:val="0"/>
          <w:i w:val="0"/>
          <w:color w:val="000000"/>
          <w:sz w:val="21"/>
        </w:rPr>
        <w:t>파싱은 질의에 무관하며 페이지 단위로 한 번만 수행되어 cache에 영구 저장된다. 스키마는 ParsedDocument dataclass[benchmark/parse_cache.py:10–18]로 정의되며 다음 필드를 갖는다.</w:t>
      </w:r>
    </w:p>
    <w:p>
      <w:pPr>
        <w:spacing w:after="120" w:before="80" w:line="264" w:lineRule="auto"/>
        <w:ind w:left="227"/>
        <w:shd w:val="clear" w:color="auto" w:fill="F4F4F0"/>
      </w:pPr>
      <w:r>
        <w:rPr>
          <w:rFonts w:ascii="Consolas" w:hAnsi="Consolas" w:eastAsia="NanumMyeongjo" w:cs="Consolas"/>
          <w:b w:val="0"/>
          <w:i w:val="0"/>
          <w:color w:val="000000"/>
          <w:sz w:val="18"/>
        </w:rPr>
        <w:t>ParsedDocument(</w:t>
        <w:br/>
        <w:t xml:space="preserve">    dataset:            str,             # e.g., "MP-DocVQA"</w:t>
        <w:br/>
        <w:t xml:space="preserve">    corpus_id:          str,             # e.g., "txpp0227_p9.jpg"</w:t>
        <w:br/>
        <w:t xml:space="preserve">    text:               str,             # plain text content</w:t>
        <w:br/>
        <w:t xml:space="preserve">    tables_markdown:    list[str],       # markdown-rendered tables</w:t>
        <w:br/>
        <w:t xml:space="preserve">    table_descriptions: list[str],       # short caption of each table</w:t>
        <w:br/>
        <w:t xml:space="preserve">    parse_status:       str,             # "ok" | "failed"</w:t>
        <w:br/>
        <w:t xml:space="preserve">    error:              str,             # populated on parse failure</w:t>
        <w:br/>
        <w:t xml:space="preserve">    raw_upstage:        dict[str, Any]   # raw API response (audit)</w:t>
        <w:br/>
        <w:t>)</w:t>
      </w:r>
    </w:p>
    <w:p>
      <w:pPr>
        <w:spacing w:after="80" w:before="0" w:line="324" w:lineRule="auto"/>
        <w:ind w:firstLine="482"/>
        <w:jc w:val="both"/>
      </w:pPr>
      <w:r>
        <w:rPr>
          <w:rFonts w:ascii="Times New Roman" w:hAnsi="Times New Roman" w:eastAsia="NanumMyeongjo" w:cs="Times New Roman"/>
          <w:b w:val="0"/>
          <w:i w:val="0"/>
          <w:color w:val="000000"/>
          <w:sz w:val="21"/>
        </w:rPr>
        <w:t>JSONL의 한 줄이 한 페이지의 파싱 결과에 해당한다. cache_key(dataset, corpus_id)로 조회하며 evidence_text(doc) 함수는 텍스트·표·표 설명을 세 섹션 헤더와 함께 단일 문자열로 직렬화한다. 이 직렬화 결과가 §4.2, §4.3 모드의 prompt에 삽입된다.</w:t>
      </w:r>
    </w:p>
    <w:p>
      <w:pPr>
        <w:keepNext/>
        <w:spacing w:before="200" w:after="80"/>
      </w:pPr>
      <w:r>
        <w:rPr>
          <w:rFonts w:ascii="Times New Roman" w:hAnsi="Times New Roman" w:eastAsia="NanumMyeongjo" w:cs="Times New Roman"/>
          <w:b/>
          <w:i w:val="0"/>
          <w:color w:val="000000"/>
          <w:sz w:val="23"/>
        </w:rPr>
        <w:t>5.2 페이지 선택: oracle 모드</w:t>
      </w:r>
    </w:p>
    <w:p>
      <w:pPr>
        <w:spacing w:after="80" w:before="0" w:line="324" w:lineRule="auto"/>
        <w:ind w:firstLine="482"/>
        <w:jc w:val="both"/>
      </w:pPr>
      <w:r>
        <w:rPr>
          <w:rFonts w:ascii="Times New Roman" w:hAnsi="Times New Roman" w:eastAsia="NanumMyeongjo" w:cs="Times New Roman"/>
          <w:b w:val="0"/>
          <w:i w:val="0"/>
          <w:color w:val="000000"/>
          <w:sz w:val="21"/>
        </w:rPr>
        <w:t>본 실험은 검색 단계를 우회하여 qrels가 제공하는 정답 페이지를 generator 입력으로 사용한다. --oracle 플래그가 주어지면 qrels.get(qid) 또는 SlideVQA의 다중 페이지 규약을 따르는 positive_docids 함수가 호출된다[benchmark/v12_on_visrag.py:283–290]. 본 결정의 정당성은 §7.4에서 상세히 논의한다.</w:t>
      </w:r>
    </w:p>
    <w:p>
      <w:pPr>
        <w:keepNext/>
        <w:spacing w:before="200" w:after="80"/>
      </w:pPr>
      <w:r>
        <w:rPr>
          <w:rFonts w:ascii="Times New Roman" w:hAnsi="Times New Roman" w:eastAsia="NanumMyeongjo" w:cs="Times New Roman"/>
          <w:b/>
          <w:i w:val="0"/>
          <w:color w:val="000000"/>
          <w:sz w:val="23"/>
        </w:rPr>
        <w:t>5.3 Generation: prompt 와 메시지 구성</w:t>
      </w:r>
    </w:p>
    <w:p>
      <w:pPr>
        <w:spacing w:after="80" w:before="0" w:line="324" w:lineRule="auto"/>
        <w:ind w:firstLine="482"/>
        <w:jc w:val="both"/>
      </w:pPr>
      <w:r>
        <w:rPr>
          <w:rFonts w:ascii="Times New Roman" w:hAnsi="Times New Roman" w:eastAsia="NanumMyeongjo" w:cs="Times New Roman"/>
          <w:b w:val="0"/>
          <w:i w:val="0"/>
          <w:color w:val="000000"/>
          <w:sz w:val="21"/>
        </w:rPr>
        <w:t>모든 모드는 동일한 prompt 골격을 사용한다[benchmark/v12_on_visrag.py:75–96].</w:t>
      </w:r>
    </w:p>
    <w:p>
      <w:pPr>
        <w:spacing w:after="120" w:before="80" w:line="264" w:lineRule="auto"/>
        <w:ind w:left="227"/>
        <w:shd w:val="clear" w:color="auto" w:fill="F4F4F0"/>
      </w:pPr>
      <w:r>
        <w:rPr>
          <w:rFonts w:ascii="Consolas" w:hAnsi="Consolas" w:eastAsia="NanumMyeongjo" w:cs="Consolas"/>
          <w:b w:val="0"/>
          <w:i w:val="0"/>
          <w:color w:val="000000"/>
          <w:sz w:val="18"/>
        </w:rPr>
        <w:t>You are evaluating a document QA method on the VisRAG benchmark.</w:t>
        <w:br/>
        <w:t>{evidence_instruction}</w:t>
        <w:br/>
        <w:t>Answer only the final answer. For numeric answers, return the exact</w:t>
        <w:br/>
        <w:t>visible value when possible. If the evidence is insufficient, answer:</w:t>
        <w:br/>
        <w:t>insufficient to answer.</w:t>
        <w:br/>
        <w:br/>
        <w:t>[Parsed text/table evidence]</w:t>
        <w:br/>
        <w:t>{context_block}</w:t>
        <w:br/>
        <w:br/>
        <w:t>[Question]</w:t>
        <w:br/>
        <w:t>{query}</w:t>
      </w:r>
    </w:p>
    <w:p>
      <w:pPr>
        <w:spacing w:after="80" w:before="0" w:line="324" w:lineRule="auto"/>
        <w:ind w:firstLine="482"/>
        <w:jc w:val="both"/>
      </w:pPr>
      <w:r>
        <w:rPr>
          <w:rFonts w:ascii="Times New Roman" w:hAnsi="Times New Roman" w:eastAsia="NanumMyeongjo" w:cs="Times New Roman"/>
          <w:b w:val="0"/>
          <w:i w:val="0"/>
          <w:color w:val="000000"/>
          <w:sz w:val="21"/>
        </w:rPr>
        <w:t>{evidence_instruction}과 {context_block}이 모드별로 치환되는 방식은 표 2와 같다.</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Mode</w:t>
            </w:r>
          </w:p>
        </w:tc>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evidence_instruction</w:t>
            </w:r>
          </w:p>
        </w:tc>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context_block</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image_only</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Use only the provided document page image(s).</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(not provided)</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parsed_text_only</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Use only the parsed text/table evidence. No images are provided.</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evidence_text(doc)</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parsed_visual</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Use parsed text/table evidence for exact labels and values, and use images to verify visual/layout evidence.</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evidence_text(doc)</w:t>
            </w:r>
          </w:p>
        </w:tc>
      </w:tr>
    </w:tbl>
    <w:p>
      <w:pPr>
        <w:spacing w:after="200" w:before="40"/>
        <w:jc w:val="center"/>
      </w:pPr>
      <w:r>
        <w:rPr>
          <w:rFonts w:ascii="Times New Roman" w:hAnsi="Times New Roman" w:eastAsia="NanumMyeongjo" w:cs="Times New Roman"/>
          <w:b/>
          <w:i w:val="0"/>
          <w:color w:val="000000"/>
          <w:sz w:val="19"/>
        </w:rPr>
        <w:t xml:space="preserve">표 2. </w:t>
      </w:r>
      <w:r>
        <w:rPr>
          <w:rFonts w:ascii="Times New Roman" w:hAnsi="Times New Roman" w:eastAsia="NanumMyeongjo" w:cs="Times New Roman"/>
          <w:b w:val="0"/>
          <w:i/>
          <w:color w:val="000000"/>
          <w:sz w:val="19"/>
        </w:rPr>
        <w:t>세 모드의 prompt 차이. evidence 입력만 다르고 골격은 동일하다.</w:t>
      </w:r>
    </w:p>
    <w:p>
      <w:pPr>
        <w:spacing w:after="80" w:before="0" w:line="324" w:lineRule="auto"/>
        <w:ind w:firstLine="482"/>
        <w:jc w:val="both"/>
      </w:pPr>
      <w:r>
        <w:rPr>
          <w:rFonts w:ascii="Times New Roman" w:hAnsi="Times New Roman" w:eastAsia="NanumMyeongjo" w:cs="Times New Roman"/>
          <w:b w:val="0"/>
          <w:i w:val="0"/>
          <w:color w:val="000000"/>
          <w:sz w:val="21"/>
        </w:rPr>
        <w:t>Qwen2-VL의 chat 메시지 포맷은 OpenAI 스타일 multipart content를 따르며, build_qwen2vl_messages 함수가 이미지 리스트와 텍스트 프롬프트를 결합한다[benchmark/v12_on_visrag.py:206–217].</w:t>
      </w:r>
    </w:p>
    <w:p>
      <w:pPr>
        <w:keepNext/>
        <w:spacing w:before="200" w:after="80"/>
      </w:pPr>
      <w:r>
        <w:rPr>
          <w:rFonts w:ascii="Times New Roman" w:hAnsi="Times New Roman" w:eastAsia="NanumMyeongjo" w:cs="Times New Roman"/>
          <w:b/>
          <w:i w:val="0"/>
          <w:color w:val="000000"/>
          <w:sz w:val="23"/>
        </w:rPr>
        <w:t>5.4 결과 표출: PPT 양식 exporter</w:t>
      </w:r>
    </w:p>
    <w:p>
      <w:pPr>
        <w:spacing w:after="80" w:before="0" w:line="324" w:lineRule="auto"/>
        <w:ind w:firstLine="482"/>
        <w:jc w:val="both"/>
      </w:pPr>
      <w:r>
        <w:rPr>
          <w:rFonts w:ascii="Times New Roman" w:hAnsi="Times New Roman" w:eastAsia="NanumMyeongjo" w:cs="Times New Roman"/>
          <w:b w:val="0"/>
          <w:i w:val="0"/>
          <w:color w:val="000000"/>
          <w:sz w:val="21"/>
        </w:rPr>
        <w:t>benchmark/ppt_table_exporter.py는 12개 generation JSON을 입력 받아 사전 자료의 슬라이드 10 양식을 따르는 markdown / CSV / JSON 표를 생성한다. baseline 행은 macro 정확도의 기준점이 되며, 나머지 행에는 baseline 대비 Δ(%p)가 자동 산출된다.</w:t>
      </w:r>
    </w:p>
    <w:p>
      <w:pPr>
        <w:keepNext/>
        <w:spacing w:before="280" w:after="80"/>
      </w:pPr>
      <w:r>
        <w:rPr>
          <w:rFonts w:ascii="Times New Roman" w:hAnsi="Times New Roman" w:eastAsia="NanumMyeongjo" w:cs="Times New Roman"/>
          <w:b/>
          <w:i w:val="0"/>
          <w:color w:val="000000"/>
          <w:sz w:val="26"/>
        </w:rPr>
        <w:t>6. 구현</w:t>
      </w:r>
    </w:p>
    <w:p>
      <w:pPr>
        <w:spacing w:after="80" w:before="0" w:line="324" w:lineRule="auto"/>
        <w:ind w:firstLine="482"/>
        <w:jc w:val="both"/>
      </w:pPr>
      <w:r>
        <w:rPr>
          <w:rFonts w:ascii="Times New Roman" w:hAnsi="Times New Roman" w:eastAsia="NanumMyeongjo" w:cs="Times New Roman"/>
          <w:b w:val="0"/>
          <w:i w:val="0"/>
          <w:color w:val="000000"/>
          <w:sz w:val="21"/>
        </w:rPr>
        <w:t>핵심 모듈의 행 수와 역할은 표 3과 같다.</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경로</w:t>
            </w:r>
          </w:p>
        </w:tc>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LoC</w:t>
            </w:r>
          </w:p>
        </w:tc>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역할</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benchmark/parse_cache.py</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77</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parse cache 스키마와 적재·저장 유틸리티</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benchmark/text_retrieval.py</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71</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BM25 인덱스 (oracle 모드에서는 미사용)</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benchmark/metrics.py</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97</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relaxed exact match, MRR@k, Recall@k</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benchmark/v12_on_visrag.py</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443</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모드별 generation 메인 (Qwen2-VL / GPT-4o / MiniCPM)</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benchmark/ppt_table_exporter.py</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300</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PPT slide-10 양식 결과 표 생성</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scripts/run_today_ppt_pipeline.sh</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111</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parse + generation + export 일괄 실행</w:t>
            </w:r>
          </w:p>
        </w:tc>
      </w:tr>
    </w:tbl>
    <w:p>
      <w:pPr>
        <w:spacing w:after="200" w:before="40"/>
        <w:jc w:val="center"/>
      </w:pPr>
      <w:r>
        <w:rPr>
          <w:rFonts w:ascii="Times New Roman" w:hAnsi="Times New Roman" w:eastAsia="NanumMyeongjo" w:cs="Times New Roman"/>
          <w:b/>
          <w:i w:val="0"/>
          <w:color w:val="000000"/>
          <w:sz w:val="19"/>
        </w:rPr>
        <w:t xml:space="preserve">표 3. </w:t>
      </w:r>
      <w:r>
        <w:rPr>
          <w:rFonts w:ascii="Times New Roman" w:hAnsi="Times New Roman" w:eastAsia="NanumMyeongjo" w:cs="Times New Roman"/>
          <w:b w:val="0"/>
          <w:i/>
          <w:color w:val="000000"/>
          <w:sz w:val="19"/>
        </w:rPr>
        <w:t>본 실험에 사용된 핵심 코드 모듈.</w:t>
      </w:r>
    </w:p>
    <w:p>
      <w:pPr>
        <w:keepNext/>
        <w:spacing w:before="200" w:after="80"/>
      </w:pPr>
      <w:r>
        <w:rPr>
          <w:rFonts w:ascii="Times New Roman" w:hAnsi="Times New Roman" w:eastAsia="NanumMyeongjo" w:cs="Times New Roman"/>
          <w:b/>
          <w:i w:val="0"/>
          <w:color w:val="000000"/>
          <w:sz w:val="23"/>
        </w:rPr>
        <w:t>6.1 Generator 백엔드 추상화</w:t>
      </w:r>
    </w:p>
    <w:p>
      <w:pPr>
        <w:spacing w:after="80" w:before="0" w:line="324" w:lineRule="auto"/>
        <w:ind w:firstLine="482"/>
        <w:jc w:val="both"/>
      </w:pPr>
      <w:r>
        <w:rPr>
          <w:rFonts w:ascii="Times New Roman" w:hAnsi="Times New Roman" w:eastAsia="NanumMyeongjo" w:cs="Times New Roman"/>
          <w:b w:val="0"/>
          <w:i w:val="0"/>
          <w:color w:val="000000"/>
          <w:sz w:val="21"/>
        </w:rPr>
        <w:t>네 가지 백엔드가 동일한 call_generator 시그니처로 통일된다[benchmark/v12_on_visrag.py:21–24].</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backend</w:t>
            </w:r>
          </w:p>
        </w:tc>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모델 ID</w:t>
            </w:r>
          </w:p>
        </w:tc>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비고</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qwen2vl7b_bnb4</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Qwen/Qwen2-VL-7B-Instruct</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bitsandbytes NF4 4-bit (workspace default)</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qwen2vl7b</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Qwen/Qwen2-VL-7B-Instruct</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bf16 풀 정밀 (≥16 GB GPU 필요)</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minicpmv26</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openbmb/MiniCPM-V-2_6</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VisRAG 논문 메인 generator (paper alignment)</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gpt4o</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gpt-4o</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VisRAG 논문 API fallback</w:t>
            </w:r>
          </w:p>
        </w:tc>
      </w:tr>
    </w:tbl>
    <w:p>
      <w:pPr>
        <w:spacing w:after="200" w:before="40"/>
        <w:jc w:val="center"/>
      </w:pPr>
      <w:r>
        <w:rPr>
          <w:rFonts w:ascii="Times New Roman" w:hAnsi="Times New Roman" w:eastAsia="NanumMyeongjo" w:cs="Times New Roman"/>
          <w:b/>
          <w:i w:val="0"/>
          <w:color w:val="000000"/>
          <w:sz w:val="19"/>
        </w:rPr>
        <w:t xml:space="preserve">표 4. </w:t>
      </w:r>
      <w:r>
        <w:rPr>
          <w:rFonts w:ascii="Times New Roman" w:hAnsi="Times New Roman" w:eastAsia="NanumMyeongjo" w:cs="Times New Roman"/>
          <w:b w:val="0"/>
          <w:i/>
          <w:color w:val="000000"/>
          <w:sz w:val="19"/>
        </w:rPr>
        <w:t>지원되는 generator 백엔드. prompt 구성과 결과 row 작성 로직은 백엔드와 무관하게 동일하다.</w:t>
      </w:r>
    </w:p>
    <w:p>
      <w:pPr>
        <w:keepNext/>
        <w:spacing w:before="200" w:after="80"/>
      </w:pPr>
      <w:r>
        <w:rPr>
          <w:rFonts w:ascii="Times New Roman" w:hAnsi="Times New Roman" w:eastAsia="NanumMyeongjo" w:cs="Times New Roman"/>
          <w:b/>
          <w:i w:val="0"/>
          <w:color w:val="000000"/>
          <w:sz w:val="23"/>
        </w:rPr>
        <w:t>6.2 핵심 파라미터</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파라미터</w:t>
            </w:r>
          </w:p>
        </w:tc>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값</w:t>
            </w:r>
          </w:p>
        </w:tc>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위치</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--generator-backend</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qwen2vl7b_bnb4</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workspace default</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--mode</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image_only / parsed_text_only / parsed_visual</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세 mode 모두 측정</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--topk</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1</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한 질의당 1개 페이지</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--limit</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100</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데이터셋당 첫 100 질의 (ChartQA는 총 63)</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--max-new-tokens</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32</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짧은 답변 가정</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--oracle</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on</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검색 우회, qrels gold 페이지 사용</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do_sample</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False</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그리디 디코딩 (재현성)</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QWEN_MAX_PIXELS</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1,310,720 (1280×1024)</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큰 이미지 다운샘플 상한</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QWEN_MIN_PIXELS</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65,536 (256×256)</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작은 이미지 업샘플 하한</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BitsAndBytesConfig</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4-bit NF4, double quant, fp16 compute</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VRAM ~6 GB</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numeric tolerance</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5% (relative)</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VisRAG 논문[1]과 동일</w:t>
            </w:r>
          </w:p>
        </w:tc>
      </w:tr>
    </w:tbl>
    <w:p>
      <w:pPr>
        <w:spacing w:after="200" w:before="40"/>
        <w:jc w:val="center"/>
      </w:pPr>
      <w:r>
        <w:rPr>
          <w:rFonts w:ascii="Times New Roman" w:hAnsi="Times New Roman" w:eastAsia="NanumMyeongjo" w:cs="Times New Roman"/>
          <w:b/>
          <w:i w:val="0"/>
          <w:color w:val="000000"/>
          <w:sz w:val="19"/>
        </w:rPr>
        <w:t xml:space="preserve">표 5. </w:t>
      </w:r>
      <w:r>
        <w:rPr>
          <w:rFonts w:ascii="Times New Roman" w:hAnsi="Times New Roman" w:eastAsia="NanumMyeongjo" w:cs="Times New Roman"/>
          <w:b w:val="0"/>
          <w:i/>
          <w:color w:val="000000"/>
          <w:sz w:val="19"/>
        </w:rPr>
        <w:t>본 실험의 핵심 파라미터. 모두 코드 또는 환경변수로 재현 가능하다.</w:t>
      </w:r>
    </w:p>
    <w:p>
      <w:pPr>
        <w:keepNext/>
        <w:spacing w:before="280" w:after="80"/>
      </w:pPr>
      <w:r>
        <w:rPr>
          <w:rFonts w:ascii="Times New Roman" w:hAnsi="Times New Roman" w:eastAsia="NanumMyeongjo" w:cs="Times New Roman"/>
          <w:b/>
          <w:i w:val="0"/>
          <w:color w:val="000000"/>
          <w:sz w:val="26"/>
        </w:rPr>
        <w:t>7. 실험 설계와 정당화</w:t>
      </w:r>
    </w:p>
    <w:p>
      <w:pPr>
        <w:keepNext/>
        <w:spacing w:before="200" w:after="80"/>
      </w:pPr>
      <w:r>
        <w:rPr>
          <w:rFonts w:ascii="Times New Roman" w:hAnsi="Times New Roman" w:eastAsia="NanumMyeongjo" w:cs="Times New Roman"/>
          <w:b/>
          <w:i w:val="0"/>
          <w:color w:val="000000"/>
          <w:sz w:val="23"/>
        </w:rPr>
        <w:t>7.1 Generator 선택</w:t>
      </w:r>
    </w:p>
    <w:p>
      <w:pPr>
        <w:spacing w:after="80" w:before="0" w:line="324" w:lineRule="auto"/>
        <w:ind w:firstLine="482"/>
        <w:jc w:val="both"/>
      </w:pPr>
      <w:r>
        <w:rPr>
          <w:rFonts w:ascii="Times New Roman" w:hAnsi="Times New Roman" w:eastAsia="NanumMyeongjo" w:cs="Times New Roman"/>
          <w:b w:val="0"/>
          <w:i w:val="0"/>
          <w:color w:val="000000"/>
          <w:sz w:val="21"/>
        </w:rPr>
        <w:t>VisRAG 논문[1]은 generator로 MiniCPM-V 2.0 / 2.6 및 GPT-4o를 사용한다. 그러나 본 보고서가 측정 대상으로 삼는 사전 자료(슬라이드 10)의 baseline은 Qwen2-VL-7B로 측정되어 있으므로, baseline 행을 동일 generator로 정렬하지 않으면 우리 측 baseline 수치가 사전 자료와 동일한 의미를 갖지 못한다. 따라서 본 연구는 paper-alignment(MiniCPM-V 2.6)와 teammate-alignment(Qwen2-VL-7B) 사이에서 후자를 채택하였다. 그 근거는 다음과 같다.</w:t>
      </w:r>
    </w:p>
    <w:p>
      <w:pPr>
        <w:spacing w:after="60" w:line="312" w:lineRule="auto"/>
        <w:ind w:left="482" w:hanging="482"/>
        <w:jc w:val="both"/>
      </w:pPr>
      <w:r>
        <w:rPr>
          <w:rFonts w:ascii="Times New Roman" w:hAnsi="Times New Roman" w:eastAsia="NanumMyeongjo" w:cs="Times New Roman"/>
          <w:b w:val="0"/>
          <w:i w:val="0"/>
          <w:color w:val="000000"/>
          <w:sz w:val="21"/>
        </w:rPr>
        <w:t>(1)</w:t>
        <w:tab/>
      </w:r>
      <w:r>
        <w:rPr>
          <w:rFonts w:ascii="Times New Roman" w:hAnsi="Times New Roman" w:eastAsia="NanumMyeongjo" w:cs="Times New Roman"/>
          <w:b w:val="0"/>
          <w:i w:val="0"/>
          <w:color w:val="000000"/>
          <w:sz w:val="21"/>
        </w:rPr>
        <w:t>본 비교의 1차 목적은 사전 자료의 행에 본 연구의 방법론을 추가하여 동일 좌표계에서 Δ를 보고하는 것이다.</w:t>
      </w:r>
    </w:p>
    <w:p>
      <w:pPr>
        <w:spacing w:after="60" w:line="312" w:lineRule="auto"/>
        <w:ind w:left="482" w:hanging="482"/>
        <w:jc w:val="both"/>
      </w:pPr>
      <w:r>
        <w:rPr>
          <w:rFonts w:ascii="Times New Roman" w:hAnsi="Times New Roman" w:eastAsia="NanumMyeongjo" w:cs="Times New Roman"/>
          <w:b w:val="0"/>
          <w:i w:val="0"/>
          <w:color w:val="000000"/>
          <w:sz w:val="21"/>
        </w:rPr>
        <w:t>(2)</w:t>
        <w:tab/>
      </w:r>
      <w:r>
        <w:rPr>
          <w:rFonts w:ascii="Times New Roman" w:hAnsi="Times New Roman" w:eastAsia="NanumMyeongjo" w:cs="Times New Roman"/>
          <w:b w:val="0"/>
          <w:i w:val="0"/>
          <w:color w:val="000000"/>
          <w:sz w:val="21"/>
        </w:rPr>
        <w:t>VisRAG 논문은 generator 변경에 대해 강건한 결론(시각 검색이 텍스트 RAG에 우월하다)을 제시한다. 본 연구의 가설은 generator 자체의 강도가 아닌 evidence 형식의 영향에 관한 것이므로 generator 선택의 차이가 결론에 미치는 영향은 제한적이다.</w:t>
      </w:r>
    </w:p>
    <w:p>
      <w:pPr>
        <w:spacing w:after="60" w:line="312" w:lineRule="auto"/>
        <w:ind w:left="482" w:hanging="482"/>
        <w:jc w:val="both"/>
      </w:pPr>
      <w:r>
        <w:rPr>
          <w:rFonts w:ascii="Times New Roman" w:hAnsi="Times New Roman" w:eastAsia="NanumMyeongjo" w:cs="Times New Roman"/>
          <w:b w:val="0"/>
          <w:i w:val="0"/>
          <w:color w:val="000000"/>
          <w:sz w:val="21"/>
        </w:rPr>
        <w:t>(3)</w:t>
        <w:tab/>
      </w:r>
      <w:r>
        <w:rPr>
          <w:rFonts w:ascii="Times New Roman" w:hAnsi="Times New Roman" w:eastAsia="NanumMyeongjo" w:cs="Times New Roman"/>
          <w:b w:val="0"/>
          <w:i w:val="0"/>
          <w:color w:val="000000"/>
          <w:sz w:val="21"/>
        </w:rPr>
        <w:t>MiniCPM-V 2.6에서의 cross-check는 별도의 paper-alignment 실험으로 분리하여 후속 작업(§11)으로 정의한다.</w:t>
      </w:r>
    </w:p>
    <w:p>
      <w:pPr>
        <w:keepNext/>
        <w:spacing w:before="200" w:after="80"/>
      </w:pPr>
      <w:r>
        <w:rPr>
          <w:rFonts w:ascii="Times New Roman" w:hAnsi="Times New Roman" w:eastAsia="NanumMyeongjo" w:cs="Times New Roman"/>
          <w:b/>
          <w:i w:val="0"/>
          <w:color w:val="000000"/>
          <w:sz w:val="23"/>
        </w:rPr>
        <w:t>7.2 양자화와 이미지 해상도 캡</w:t>
      </w:r>
    </w:p>
    <w:p>
      <w:pPr>
        <w:spacing w:after="80" w:before="0" w:line="324" w:lineRule="auto"/>
        <w:ind w:firstLine="482"/>
        <w:jc w:val="both"/>
      </w:pPr>
      <w:r>
        <w:rPr>
          <w:rFonts w:ascii="Times New Roman" w:hAnsi="Times New Roman" w:eastAsia="NanumMyeongjo" w:cs="Times New Roman"/>
          <w:b w:val="0"/>
          <w:i w:val="0"/>
          <w:color w:val="000000"/>
          <w:sz w:val="21"/>
        </w:rPr>
        <w:t>본 실험 환경은 단일 RTX 4060 (8 GB VRAM)이다. Qwen2-VL-7B의 bf16 적재만으로도 약 14 GB가 필요하므로 풀 정밀 적재가 불가능하다. 8 GB 내에 모델을 적재하기 위해 두 가지 절차가 적용된다.</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bitsandbytes NF4 4-bit 양자화[4]. 일반적으로 -5~-10%p의 정확도 손실을 동반한다.</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max_pixels = 1,310,720 (1280×1024) 캡. Qwen2-VL은 입력 이미지를 28×28 픽셀 패치로 분할하여 vision token으로 변환하므로 1024×6000 픽셀의 infographics는 캡 없이 7,800개 이상의 vision token을 생성한다. 캡 적용 시 약 1,700개로 절감되어 메모리와 시간 모두 약 1/20로 감소하지만 작은 글자·디테일의 일부가 손실된다.</w:t>
      </w:r>
    </w:p>
    <w:p>
      <w:pPr>
        <w:spacing w:after="80" w:before="0" w:line="324" w:lineRule="auto"/>
        <w:ind w:firstLine="482"/>
        <w:jc w:val="both"/>
      </w:pPr>
      <w:r>
        <w:rPr>
          <w:rFonts w:ascii="Times New Roman" w:hAnsi="Times New Roman" w:eastAsia="NanumMyeongjo" w:cs="Times New Roman"/>
          <w:b w:val="0"/>
          <w:i w:val="0"/>
          <w:color w:val="000000"/>
          <w:sz w:val="21"/>
        </w:rPr>
        <w:t>이 두 조치는 세 모드에 동일하게 적용되므로 모드 간 정확도 차이(Δ)는 fair comparison 이며, 절대값이 사전 자료의 baseline(Qwen2-VL-7B 풀 정밀)보다 낮게 측정되는 것은 예상된 영향이다.</w:t>
      </w:r>
    </w:p>
    <w:p>
      <w:pPr>
        <w:keepNext/>
        <w:spacing w:before="200" w:after="80"/>
      </w:pPr>
      <w:r>
        <w:rPr>
          <w:rFonts w:ascii="Times New Roman" w:hAnsi="Times New Roman" w:eastAsia="NanumMyeongjo" w:cs="Times New Roman"/>
          <w:b/>
          <w:i w:val="0"/>
          <w:color w:val="000000"/>
          <w:sz w:val="23"/>
        </w:rPr>
        <w:t>7.3 본 연구의 image_only와 VisRAG 공식 generate.py의 차이</w:t>
      </w:r>
    </w:p>
    <w:p>
      <w:pPr>
        <w:spacing w:after="80" w:before="0" w:line="324" w:lineRule="auto"/>
        <w:ind w:firstLine="482"/>
        <w:jc w:val="both"/>
      </w:pPr>
      <w:r>
        <w:rPr>
          <w:rFonts w:ascii="Times New Roman" w:hAnsi="Times New Roman" w:eastAsia="NanumMyeongjo" w:cs="Times New Roman"/>
          <w:b w:val="0"/>
          <w:i w:val="0"/>
          <w:color w:val="000000"/>
          <w:sz w:val="21"/>
        </w:rPr>
        <w:t>본 연구의 image_only는 VisRAG의 baseline 컨셉(이미지만으로 답한다)을 동일 데이터셋·동일 정확도 지표로 재현한 것이며, 코드는 자체 구현이다. 주요 차이를 표 6에 정리한다.</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요소</w:t>
            </w:r>
          </w:p>
        </w:tc>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VisRAG 공식</w:t>
            </w:r>
          </w:p>
        </w:tc>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본 연구</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실행 스크립트</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visrag/visrag_scripts/generate/generate.py</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benchmark/v12_on_visrag.py (자체)</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generator</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MiniCPM-V 2.6 / GPT-4o</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Qwen2-VL-7B (NF4)</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task_type</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multi_image / page_concatenation / weighted_selection / text</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image_only (단일 이미지 multi-image 호출)</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이미지 해상도</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원본</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max_pixels 1.3M 캡</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프롬프트</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코드 내장</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자체 작성 (§5.3)</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retrieval</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VisRAG-Ret 결과 TREC</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--oracle (qrels 직접)</w:t>
            </w:r>
          </w:p>
        </w:tc>
      </w:tr>
    </w:tbl>
    <w:p>
      <w:pPr>
        <w:spacing w:after="200" w:before="40"/>
        <w:jc w:val="center"/>
      </w:pPr>
      <w:r>
        <w:rPr>
          <w:rFonts w:ascii="Times New Roman" w:hAnsi="Times New Roman" w:eastAsia="NanumMyeongjo" w:cs="Times New Roman"/>
          <w:b/>
          <w:i w:val="0"/>
          <w:color w:val="000000"/>
          <w:sz w:val="19"/>
        </w:rPr>
        <w:t xml:space="preserve">표 6. </w:t>
      </w:r>
      <w:r>
        <w:rPr>
          <w:rFonts w:ascii="Times New Roman" w:hAnsi="Times New Roman" w:eastAsia="NanumMyeongjo" w:cs="Times New Roman"/>
          <w:b w:val="0"/>
          <w:i/>
          <w:color w:val="000000"/>
          <w:sz w:val="19"/>
        </w:rPr>
        <w:t>VisRAG 공식 generation 스크립트와 본 연구 image_only 모드의 차이.</w:t>
      </w:r>
    </w:p>
    <w:p>
      <w:pPr>
        <w:keepNext/>
        <w:spacing w:before="200" w:after="80"/>
      </w:pPr>
      <w:r>
        <w:rPr>
          <w:rFonts w:ascii="Times New Roman" w:hAnsi="Times New Roman" w:eastAsia="NanumMyeongjo" w:cs="Times New Roman"/>
          <w:b/>
          <w:i w:val="0"/>
          <w:color w:val="000000"/>
          <w:sz w:val="23"/>
        </w:rPr>
        <w:t>7.4 검색 단계의 우회 (--oracle)</w:t>
      </w:r>
    </w:p>
    <w:p>
      <w:pPr>
        <w:spacing w:after="80" w:before="0" w:line="324" w:lineRule="auto"/>
        <w:ind w:firstLine="482"/>
        <w:jc w:val="both"/>
      </w:pPr>
      <w:r>
        <w:rPr>
          <w:rFonts w:ascii="Times New Roman" w:hAnsi="Times New Roman" w:eastAsia="NanumMyeongjo" w:cs="Times New Roman"/>
          <w:b w:val="0"/>
          <w:i w:val="0"/>
          <w:color w:val="000000"/>
          <w:sz w:val="21"/>
        </w:rPr>
        <w:t>본 연구는 VisRAG-Ret을 실행하지 않고 oracle 검색을 사용한다. 결정 배경은 다음과 같다.</w:t>
      </w:r>
    </w:p>
    <w:p>
      <w:pPr>
        <w:spacing w:after="60" w:line="312" w:lineRule="auto"/>
        <w:ind w:left="482" w:hanging="482"/>
        <w:jc w:val="both"/>
      </w:pPr>
      <w:r>
        <w:rPr>
          <w:rFonts w:ascii="Times New Roman" w:hAnsi="Times New Roman" w:eastAsia="NanumMyeongjo" w:cs="Times New Roman"/>
          <w:b w:val="0"/>
          <w:i w:val="0"/>
          <w:color w:val="000000"/>
          <w:sz w:val="21"/>
        </w:rPr>
        <w:t>(1)</w:t>
        <w:tab/>
      </w:r>
      <w:r>
        <w:rPr>
          <w:rFonts w:ascii="Times New Roman" w:hAnsi="Times New Roman" w:eastAsia="NanumMyeongjo" w:cs="Times New Roman"/>
          <w:b w:val="0"/>
          <w:i w:val="0"/>
          <w:color w:val="000000"/>
          <w:sz w:val="21"/>
        </w:rPr>
        <w:t>실험 격리. 본 비교의 통제 변수는 evidence 입력 형식이다. 실제 검색을 사용할 경우 모드별로 검색기가 동일 페이지를 선택할지에 따라 결과가 흔들리고 evidence 효과가 검색 정확도와 혼동된다. oracle을 사용하면 모든 모드가 동일한 정답 페이지에서 답을 생성하므로 차이는 오직 입력 형식에서 비롯된다.</w:t>
      </w:r>
    </w:p>
    <w:p>
      <w:pPr>
        <w:spacing w:after="60" w:line="312" w:lineRule="auto"/>
        <w:ind w:left="482" w:hanging="482"/>
        <w:jc w:val="both"/>
      </w:pPr>
      <w:r>
        <w:rPr>
          <w:rFonts w:ascii="Times New Roman" w:hAnsi="Times New Roman" w:eastAsia="NanumMyeongjo" w:cs="Times New Roman"/>
          <w:b w:val="0"/>
          <w:i w:val="0"/>
          <w:color w:val="000000"/>
          <w:sz w:val="21"/>
        </w:rPr>
        <w:t>(2)</w:t>
        <w:tab/>
      </w:r>
      <w:r>
        <w:rPr>
          <w:rFonts w:ascii="Times New Roman" w:hAnsi="Times New Roman" w:eastAsia="NanumMyeongjo" w:cs="Times New Roman"/>
          <w:b w:val="0"/>
          <w:i w:val="0"/>
          <w:color w:val="000000"/>
          <w:sz w:val="21"/>
        </w:rPr>
        <w:t>컴퓨팅 제약. VisRAG-Ret은 시각 임베딩 검색 모델이며 공식 demo README는 약 40 GB의 GPU 메모리를 요구한다. 본 환경(8 GB)에서는 실행이 불가능하다.</w:t>
      </w:r>
    </w:p>
    <w:p>
      <w:pPr>
        <w:spacing w:after="60" w:line="312" w:lineRule="auto"/>
        <w:ind w:left="482" w:hanging="482"/>
        <w:jc w:val="both"/>
      </w:pPr>
      <w:r>
        <w:rPr>
          <w:rFonts w:ascii="Times New Roman" w:hAnsi="Times New Roman" w:eastAsia="NanumMyeongjo" w:cs="Times New Roman"/>
          <w:b w:val="0"/>
          <w:i w:val="0"/>
          <w:color w:val="000000"/>
          <w:sz w:val="21"/>
        </w:rPr>
        <w:t>(3)</w:t>
        <w:tab/>
      </w:r>
      <w:r>
        <w:rPr>
          <w:rFonts w:ascii="Times New Roman" w:hAnsi="Times New Roman" w:eastAsia="NanumMyeongjo" w:cs="Times New Roman"/>
          <w:b w:val="0"/>
          <w:i w:val="0"/>
          <w:color w:val="000000"/>
          <w:sz w:val="21"/>
        </w:rPr>
        <w:t>학술적 관례. VisRAG 논문[1]도 generation 단계의 ablation을 위해 oracle 또는 동일 검색 결과를 공급하는 비교를 분리하여 보고한다. 본 연구는 동일한 관례를 따른다.</w:t>
      </w:r>
    </w:p>
    <w:p>
      <w:pPr>
        <w:spacing w:after="80" w:before="0" w:line="324" w:lineRule="auto"/>
        <w:ind w:firstLine="482"/>
        <w:jc w:val="both"/>
      </w:pPr>
      <w:r>
        <w:rPr>
          <w:rFonts w:ascii="Times New Roman" w:hAnsi="Times New Roman" w:eastAsia="NanumMyeongjo" w:cs="Times New Roman"/>
          <w:b w:val="0"/>
          <w:i w:val="0"/>
          <w:color w:val="000000"/>
          <w:sz w:val="21"/>
        </w:rPr>
        <w:t>본 결정의 직접적 함의는 본 보고서가 end-to-end 정확도가 아닌 generation 격리 정확도를 측정한다는 것이다. 이는 발표·논문 등의 framing에서 명시적으로 진술되어야 한다.</w:t>
      </w:r>
    </w:p>
    <w:p>
      <w:pPr>
        <w:keepNext/>
        <w:spacing w:before="200" w:after="80"/>
      </w:pPr>
      <w:r>
        <w:rPr>
          <w:rFonts w:ascii="Times New Roman" w:hAnsi="Times New Roman" w:eastAsia="NanumMyeongjo" w:cs="Times New Roman"/>
          <w:b/>
          <w:i w:val="0"/>
          <w:color w:val="000000"/>
          <w:sz w:val="23"/>
        </w:rPr>
        <w:t>7.5 표본 설계</w:t>
      </w:r>
    </w:p>
    <w:p>
      <w:pPr>
        <w:spacing w:after="80" w:before="0" w:line="324" w:lineRule="auto"/>
        <w:ind w:firstLine="482"/>
        <w:jc w:val="both"/>
      </w:pPr>
      <w:r>
        <w:rPr>
          <w:rFonts w:ascii="Times New Roman" w:hAnsi="Times New Roman" w:eastAsia="NanumMyeongjo" w:cs="Times New Roman"/>
          <w:b w:val="0"/>
          <w:i w:val="0"/>
          <w:color w:val="000000"/>
          <w:sz w:val="21"/>
        </w:rPr>
        <w:t>전체 데이터셋을 모두 평가하는 대신 데이터셋당 첫 100개 질의로 표본화하였다. 결정 사유는 시간 제약(단일 GPU에서의 풀 평가는 15~30시간으로 추정)과 통계적 충분성이다. 표본 100개는 5%p 수준의 정확도 차이를 95% 신뢰도로 구분하기에 충분한 크기이며(이항분포 표준오차 √(0.5·0.5/100) = 0.05), 본 실험에서 관찰된 Δ는 +14~+58%p로 표본 변동을 크게 상회한다. 선택 방식은 무작위가 아닌 HF dataset의 수록 순서대로의 첫 N개로 통일하여 재현 가능성과 외부 cross-check 가능성을 보장하였다.</w:t>
      </w:r>
    </w:p>
    <w:p>
      <w:pPr>
        <w:keepNext/>
        <w:spacing w:before="200" w:after="80"/>
      </w:pPr>
      <w:r>
        <w:rPr>
          <w:rFonts w:ascii="Times New Roman" w:hAnsi="Times New Roman" w:eastAsia="NanumMyeongjo" w:cs="Times New Roman"/>
          <w:b/>
          <w:i w:val="0"/>
          <w:color w:val="000000"/>
          <w:sz w:val="23"/>
        </w:rPr>
        <w:t>7.6 평가 지표</w:t>
      </w:r>
    </w:p>
    <w:p>
      <w:pPr>
        <w:spacing w:after="80" w:before="0" w:line="324" w:lineRule="auto"/>
        <w:ind w:firstLine="482"/>
        <w:jc w:val="both"/>
      </w:pPr>
      <w:r>
        <w:rPr>
          <w:rFonts w:ascii="Times New Roman" w:hAnsi="Times New Roman" w:eastAsia="NanumMyeongjo" w:cs="Times New Roman"/>
          <w:b w:val="0"/>
          <w:i w:val="0"/>
          <w:color w:val="000000"/>
          <w:sz w:val="21"/>
        </w:rPr>
        <w:t>VisRAG 논문[1]과 동일한 relaxed exact match accuracy를 사용한다[benchmark/metrics.py:16–44]. 텍스트 답변은 공백 정규화와 소문자 비교를 거쳐 substring containment까지 허용하며, 숫자 답변은 정답에서 추출한 수치와 예측 수치가 5% 상대 오차 내에서 일치하면 정답으로 인정한다. 검색 지표(MRR@10, Recall@10)는 본 보고서의 범위 밖이나 동일 metric 구현이 코드베이스에 포함되어 있어 후속 작업에서 즉시 사용 가능하다.</w:t>
      </w:r>
    </w:p>
    <w:p>
      <w:pPr>
        <w:keepNext/>
        <w:spacing w:before="280" w:after="80"/>
      </w:pPr>
      <w:r>
        <w:rPr>
          <w:rFonts w:ascii="Times New Roman" w:hAnsi="Times New Roman" w:eastAsia="NanumMyeongjo" w:cs="Times New Roman"/>
          <w:b/>
          <w:i w:val="0"/>
          <w:color w:val="000000"/>
          <w:sz w:val="26"/>
        </w:rPr>
        <w:t>8. 논문과의 일치 및 차이</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FFFFFF"/>
          </w:tcPr>
          <w:p>
            <w:pPr>
              <w:spacing w:after="0" w:before="0"/>
              <w:jc w:val="center"/>
            </w:pPr>
            <w:r>
              <w:rPr>
                <w:rFonts w:ascii="Times New Roman" w:hAnsi="Times New Roman" w:eastAsia="NanumMyeongjo" w:cs="Times New Roman"/>
                <w:b/>
                <w:i w:val="0"/>
                <w:color w:val="000000"/>
                <w:sz w:val="19"/>
              </w:rPr>
              <w:t>구성요소</w:t>
            </w:r>
          </w:p>
        </w:tc>
        <w:tc>
          <w:tcPr>
            <w:tcW w:type="dxa" w:w="2268"/>
            <w:vAlign w:val="center"/>
            <w:shd w:val="clear" w:color="auto" w:fill="FFFFFF"/>
          </w:tcPr>
          <w:p>
            <w:pPr>
              <w:spacing w:after="0" w:before="0"/>
              <w:jc w:val="center"/>
            </w:pPr>
            <w:r>
              <w:rPr>
                <w:rFonts w:ascii="Times New Roman" w:hAnsi="Times New Roman" w:eastAsia="NanumMyeongjo" w:cs="Times New Roman"/>
                <w:b/>
                <w:i w:val="0"/>
                <w:color w:val="000000"/>
                <w:sz w:val="19"/>
              </w:rPr>
              <w:t>VisRAG 논문</w:t>
            </w:r>
          </w:p>
        </w:tc>
        <w:tc>
          <w:tcPr>
            <w:tcW w:type="dxa" w:w="2268"/>
            <w:vAlign w:val="center"/>
            <w:shd w:val="clear" w:color="auto" w:fill="FFFFFF"/>
          </w:tcPr>
          <w:p>
            <w:pPr>
              <w:spacing w:after="0" w:before="0"/>
              <w:jc w:val="center"/>
            </w:pPr>
            <w:r>
              <w:rPr>
                <w:rFonts w:ascii="Times New Roman" w:hAnsi="Times New Roman" w:eastAsia="NanumMyeongjo" w:cs="Times New Roman"/>
                <w:b/>
                <w:i w:val="0"/>
                <w:color w:val="000000"/>
                <w:sz w:val="19"/>
              </w:rPr>
              <w:t>본 연구</w:t>
            </w:r>
          </w:p>
        </w:tc>
        <w:tc>
          <w:tcPr>
            <w:tcW w:type="dxa" w:w="2268"/>
            <w:vAlign w:val="center"/>
            <w:shd w:val="clear" w:color="auto" w:fill="FFFFFF"/>
          </w:tcPr>
          <w:p>
            <w:pPr>
              <w:spacing w:after="0" w:before="0"/>
              <w:jc w:val="center"/>
            </w:pPr>
            <w:r>
              <w:rPr>
                <w:rFonts w:ascii="Times New Roman" w:hAnsi="Times New Roman" w:eastAsia="NanumMyeongjo" w:cs="Times New Roman"/>
                <w:b/>
                <w:i w:val="0"/>
                <w:color w:val="000000"/>
                <w:sz w:val="19"/>
              </w:rPr>
              <w:t>일치 여부</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데이터셋 출처</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HF openbmb/VisRAG-Ret-Test-*</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동일</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일치</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데이터셋 개수</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6 (ArxivQA, ChartQA, MP-DocVQA, InfoVQA, PlotQA, SlideVQA)</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4 (ArxivQA, PlotQA 제외; 사전 자료 정렬)</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부분</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queries/corpus/qrels</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동일 schema</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동일</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일치</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정확도 metric</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relaxed exact match, 5% 숫자 tolerance</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동일 구현</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일치</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Retrieval 모델</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VisRAG-Ret (시각 임베딩)</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미실행, --oracle 사용</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불일치</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Retrieval metric</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MRR@10, Recall@10</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본 보고서 범위 밖</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불일치</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Generator</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MiniCPM-V 2.6 / GPT-4o</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Qwen2-VL-7B + NF4</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불일치(의도적)</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Generation task_type</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multi_image 등 4종</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image_only / parsed_text_only / parsed_visual (자체)</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다른 차원</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이미지 해상도</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원본</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1.3M 픽셀 캡</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불일치(제약)</w:t>
            </w:r>
          </w:p>
        </w:tc>
      </w:tr>
    </w:tbl>
    <w:p>
      <w:pPr>
        <w:spacing w:after="200" w:before="40"/>
        <w:jc w:val="center"/>
      </w:pPr>
      <w:r>
        <w:rPr>
          <w:rFonts w:ascii="Times New Roman" w:hAnsi="Times New Roman" w:eastAsia="NanumMyeongjo" w:cs="Times New Roman"/>
          <w:b/>
          <w:i w:val="0"/>
          <w:color w:val="000000"/>
          <w:sz w:val="19"/>
        </w:rPr>
        <w:t xml:space="preserve">표 7. </w:t>
      </w:r>
      <w:r>
        <w:rPr>
          <w:rFonts w:ascii="Times New Roman" w:hAnsi="Times New Roman" w:eastAsia="NanumMyeongjo" w:cs="Times New Roman"/>
          <w:b w:val="0"/>
          <w:i/>
          <w:color w:val="000000"/>
          <w:sz w:val="19"/>
        </w:rPr>
        <w:t>VisRAG 논문과 본 연구의 정렬 표. 모든 불일치는 §7에 명시된 설계 결정에 의한다.</w:t>
      </w:r>
    </w:p>
    <w:p>
      <w:pPr>
        <w:spacing w:after="80" w:before="0" w:line="324" w:lineRule="auto"/>
        <w:ind w:firstLine="482"/>
        <w:jc w:val="both"/>
      </w:pPr>
      <w:r>
        <w:rPr>
          <w:rFonts w:ascii="Times New Roman" w:hAnsi="Times New Roman" w:eastAsia="NanumMyeongjo" w:cs="Times New Roman"/>
          <w:b w:val="0"/>
          <w:i w:val="0"/>
          <w:color w:val="000000"/>
          <w:sz w:val="21"/>
        </w:rPr>
        <w:t>요약하면 본 연구는 데이터·평가 지표·정답 비교 형식을 논문과 정렬하고 generator·retrieval·해상도를 의도적으로 다른 조건으로 통제한다. 따라서 본 연구는 VisRAG 논문 결과의 재현이 아니라 VisRAG 데이터·지표 위에서의 generation evidence 형식 ablation으로 framing되어야 한다.</w:t>
      </w:r>
    </w:p>
    <w:p>
      <w:pPr>
        <w:keepNext/>
        <w:spacing w:before="280" w:after="80"/>
      </w:pPr>
      <w:r>
        <w:rPr>
          <w:rFonts w:ascii="Times New Roman" w:hAnsi="Times New Roman" w:eastAsia="NanumMyeongjo" w:cs="Times New Roman"/>
          <w:b/>
          <w:i w:val="0"/>
          <w:color w:val="000000"/>
          <w:sz w:val="26"/>
        </w:rPr>
        <w:t>9. 결과</w:t>
      </w:r>
    </w:p>
    <w:p>
      <w:pPr>
        <w:keepNext/>
        <w:spacing w:before="200" w:after="80"/>
      </w:pPr>
      <w:r>
        <w:rPr>
          <w:rFonts w:ascii="Times New Roman" w:hAnsi="Times New Roman" w:eastAsia="NanumMyeongjo" w:cs="Times New Roman"/>
          <w:b/>
          <w:i w:val="0"/>
          <w:color w:val="000000"/>
          <w:sz w:val="23"/>
        </w:rPr>
        <w:t>9.1 PPT slide-10 양식 결과 표</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val="clear" w:color="auto" w:fill="FFFFFF"/>
          </w:tcPr>
          <w:p>
            <w:pPr>
              <w:spacing w:after="0" w:before="0"/>
              <w:jc w:val="center"/>
            </w:pPr>
            <w:r>
              <w:rPr>
                <w:rFonts w:ascii="Times New Roman" w:hAnsi="Times New Roman" w:eastAsia="NanumMyeongjo" w:cs="Times New Roman"/>
                <w:b/>
                <w:i w:val="0"/>
                <w:color w:val="000000"/>
                <w:sz w:val="19"/>
              </w:rPr>
              <w:t>Method</w:t>
            </w:r>
          </w:p>
        </w:tc>
        <w:tc>
          <w:tcPr>
            <w:tcW w:type="dxa" w:w="1296"/>
            <w:vAlign w:val="center"/>
            <w:shd w:val="clear" w:color="auto" w:fill="FFFFFF"/>
          </w:tcPr>
          <w:p>
            <w:pPr>
              <w:spacing w:after="0" w:before="0"/>
              <w:jc w:val="center"/>
            </w:pPr>
            <w:r>
              <w:rPr>
                <w:rFonts w:ascii="Times New Roman" w:hAnsi="Times New Roman" w:eastAsia="NanumMyeongjo" w:cs="Times New Roman"/>
                <w:b/>
                <w:i w:val="0"/>
                <w:color w:val="000000"/>
                <w:sz w:val="19"/>
              </w:rPr>
              <w:t>InfoVQA</w:t>
            </w:r>
          </w:p>
        </w:tc>
        <w:tc>
          <w:tcPr>
            <w:tcW w:type="dxa" w:w="1296"/>
            <w:vAlign w:val="center"/>
            <w:shd w:val="clear" w:color="auto" w:fill="FFFFFF"/>
          </w:tcPr>
          <w:p>
            <w:pPr>
              <w:spacing w:after="0" w:before="0"/>
              <w:jc w:val="center"/>
            </w:pPr>
            <w:r>
              <w:rPr>
                <w:rFonts w:ascii="Times New Roman" w:hAnsi="Times New Roman" w:eastAsia="NanumMyeongjo" w:cs="Times New Roman"/>
                <w:b/>
                <w:i w:val="0"/>
                <w:color w:val="000000"/>
                <w:sz w:val="19"/>
              </w:rPr>
              <w:t>ChartQA</w:t>
            </w:r>
          </w:p>
        </w:tc>
        <w:tc>
          <w:tcPr>
            <w:tcW w:type="dxa" w:w="1296"/>
            <w:vAlign w:val="center"/>
            <w:shd w:val="clear" w:color="auto" w:fill="FFFFFF"/>
          </w:tcPr>
          <w:p>
            <w:pPr>
              <w:spacing w:after="0" w:before="0"/>
              <w:jc w:val="center"/>
            </w:pPr>
            <w:r>
              <w:rPr>
                <w:rFonts w:ascii="Times New Roman" w:hAnsi="Times New Roman" w:eastAsia="NanumMyeongjo" w:cs="Times New Roman"/>
                <w:b/>
                <w:i w:val="0"/>
                <w:color w:val="000000"/>
                <w:sz w:val="19"/>
              </w:rPr>
              <w:t>DocVQA</w:t>
            </w:r>
          </w:p>
        </w:tc>
        <w:tc>
          <w:tcPr>
            <w:tcW w:type="dxa" w:w="1296"/>
            <w:vAlign w:val="center"/>
            <w:shd w:val="clear" w:color="auto" w:fill="FFFFFF"/>
          </w:tcPr>
          <w:p>
            <w:pPr>
              <w:spacing w:after="0" w:before="0"/>
              <w:jc w:val="center"/>
            </w:pPr>
            <w:r>
              <w:rPr>
                <w:rFonts w:ascii="Times New Roman" w:hAnsi="Times New Roman" w:eastAsia="NanumMyeongjo" w:cs="Times New Roman"/>
                <w:b/>
                <w:i w:val="0"/>
                <w:color w:val="000000"/>
                <w:sz w:val="19"/>
              </w:rPr>
              <w:t>SlideVQA</w:t>
            </w:r>
          </w:p>
        </w:tc>
        <w:tc>
          <w:tcPr>
            <w:tcW w:type="dxa" w:w="1296"/>
            <w:vAlign w:val="center"/>
            <w:shd w:val="clear" w:color="auto" w:fill="FFFFFF"/>
          </w:tcPr>
          <w:p>
            <w:pPr>
              <w:spacing w:after="0" w:before="0"/>
              <w:jc w:val="center"/>
            </w:pPr>
            <w:r>
              <w:rPr>
                <w:rFonts w:ascii="Times New Roman" w:hAnsi="Times New Roman" w:eastAsia="NanumMyeongjo" w:cs="Times New Roman"/>
                <w:b/>
                <w:i w:val="0"/>
                <w:color w:val="000000"/>
                <w:sz w:val="19"/>
              </w:rPr>
              <w:t>macro</w:t>
            </w:r>
          </w:p>
        </w:tc>
        <w:tc>
          <w:tcPr>
            <w:tcW w:type="dxa" w:w="1296"/>
            <w:vAlign w:val="center"/>
            <w:shd w:val="clear" w:color="auto" w:fill="FFFFFF"/>
          </w:tcPr>
          <w:p>
            <w:pPr>
              <w:spacing w:after="0" w:before="0"/>
              <w:jc w:val="center"/>
            </w:pPr>
            <w:r>
              <w:rPr>
                <w:rFonts w:ascii="Times New Roman" w:hAnsi="Times New Roman" w:eastAsia="NanumMyeongjo" w:cs="Times New Roman"/>
                <w:b/>
                <w:i w:val="0"/>
                <w:color w:val="000000"/>
                <w:sz w:val="19"/>
              </w:rPr>
              <w:t>Δ vs Baseline</w:t>
            </w:r>
          </w:p>
        </w:tc>
      </w:tr>
      <w:tr>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Baseline (순수 VisRAG, image_only)</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0.2000</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0.3651</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0.1700</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0.1800</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0.2288</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w:t>
            </w:r>
          </w:p>
        </w:tc>
      </w:tr>
      <w:tr>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Parsed-Text Only (ablation)</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0.5400</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0.5238</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0.7600</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0.5200</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0.5860</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+35.72%p</w:t>
            </w:r>
          </w:p>
        </w:tc>
      </w:tr>
      <w:tr>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Parsed-Visual RAG (PV-RAG, ours)</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0.5400</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0.5079</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0.8000</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0.5200</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0.5920</w:t>
            </w:r>
          </w:p>
        </w:tc>
        <w:tc>
          <w:tcPr>
            <w:tcW w:type="dxa" w:w="1296"/>
            <w:vAlign w:val="center"/>
            <w:shd w:val="clear" w:color="auto" w:fill="FFFFFF"/>
          </w:tcPr>
          <w:p>
            <w:pPr>
              <w:spacing w:after="0" w:before="0"/>
              <w:jc w:val="center"/>
            </w:pPr>
            <w:r>
              <w:rPr>
                <w:rFonts w:ascii="Times New Roman" w:hAnsi="Times New Roman" w:eastAsia="NanumMyeongjo" w:cs="Times New Roman"/>
                <w:b w:val="0"/>
                <w:i w:val="0"/>
                <w:color w:val="000000"/>
                <w:sz w:val="19"/>
              </w:rPr>
              <w:t>+36.32%p</w:t>
            </w:r>
          </w:p>
        </w:tc>
      </w:tr>
    </w:tbl>
    <w:p>
      <w:pPr>
        <w:spacing w:after="200" w:before="40"/>
        <w:jc w:val="center"/>
      </w:pPr>
      <w:r>
        <w:rPr>
          <w:rFonts w:ascii="Times New Roman" w:hAnsi="Times New Roman" w:eastAsia="NanumMyeongjo" w:cs="Times New Roman"/>
          <w:b/>
          <w:i w:val="0"/>
          <w:color w:val="000000"/>
          <w:sz w:val="19"/>
        </w:rPr>
        <w:t xml:space="preserve">표 8. </w:t>
      </w:r>
      <w:r>
        <w:rPr>
          <w:rFonts w:ascii="Times New Roman" w:hAnsi="Times New Roman" w:eastAsia="NanumMyeongjo" w:cs="Times New Roman"/>
          <w:b w:val="0"/>
          <w:i/>
          <w:color w:val="000000"/>
          <w:sz w:val="19"/>
        </w:rPr>
        <w:t>Qwen2-VL-7B + NF4, oracle 검색, 데이터셋당 첫 100 질의(ChartQA는 총 63)에서의 정확도. DocVQA는 MP-DocVQA를 의미한다.</w:t>
      </w:r>
    </w:p>
    <w:p>
      <w:pPr>
        <w:keepNext/>
        <w:spacing w:before="200" w:after="80"/>
      </w:pPr>
      <w:r>
        <w:rPr>
          <w:rFonts w:ascii="Times New Roman" w:hAnsi="Times New Roman" w:eastAsia="NanumMyeongjo" w:cs="Times New Roman"/>
          <w:b/>
          <w:i w:val="0"/>
          <w:color w:val="000000"/>
          <w:sz w:val="23"/>
        </w:rPr>
        <w:t>9.2 표본별 정답 카운트</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FFFFFF"/>
          </w:tcPr>
          <w:p>
            <w:pPr>
              <w:spacing w:after="0" w:before="0"/>
              <w:jc w:val="center"/>
            </w:pPr>
            <w:r>
              <w:rPr>
                <w:rFonts w:ascii="Times New Roman" w:hAnsi="Times New Roman" w:eastAsia="NanumMyeongjo" w:cs="Times New Roman"/>
                <w:b/>
                <w:i w:val="0"/>
                <w:color w:val="000000"/>
                <w:sz w:val="19"/>
              </w:rPr>
              <w:t>Dataset</w:t>
            </w:r>
          </w:p>
        </w:tc>
        <w:tc>
          <w:tcPr>
            <w:tcW w:type="dxa" w:w="2268"/>
            <w:vAlign w:val="center"/>
            <w:shd w:val="clear" w:color="auto" w:fill="FFFFFF"/>
          </w:tcPr>
          <w:p>
            <w:pPr>
              <w:spacing w:after="0" w:before="0"/>
              <w:jc w:val="center"/>
            </w:pPr>
            <w:r>
              <w:rPr>
                <w:rFonts w:ascii="Times New Roman" w:hAnsi="Times New Roman" w:eastAsia="NanumMyeongjo" w:cs="Times New Roman"/>
                <w:b/>
                <w:i w:val="0"/>
                <w:color w:val="000000"/>
                <w:sz w:val="19"/>
              </w:rPr>
              <w:t>image_only</w:t>
            </w:r>
          </w:p>
        </w:tc>
        <w:tc>
          <w:tcPr>
            <w:tcW w:type="dxa" w:w="2268"/>
            <w:vAlign w:val="center"/>
            <w:shd w:val="clear" w:color="auto" w:fill="FFFFFF"/>
          </w:tcPr>
          <w:p>
            <w:pPr>
              <w:spacing w:after="0" w:before="0"/>
              <w:jc w:val="center"/>
            </w:pPr>
            <w:r>
              <w:rPr>
                <w:rFonts w:ascii="Times New Roman" w:hAnsi="Times New Roman" w:eastAsia="NanumMyeongjo" w:cs="Times New Roman"/>
                <w:b/>
                <w:i w:val="0"/>
                <w:color w:val="000000"/>
                <w:sz w:val="19"/>
              </w:rPr>
              <w:t>parsed_text_only</w:t>
            </w:r>
          </w:p>
        </w:tc>
        <w:tc>
          <w:tcPr>
            <w:tcW w:type="dxa" w:w="2268"/>
            <w:vAlign w:val="center"/>
            <w:shd w:val="clear" w:color="auto" w:fill="FFFFFF"/>
          </w:tcPr>
          <w:p>
            <w:pPr>
              <w:spacing w:after="0" w:before="0"/>
              <w:jc w:val="center"/>
            </w:pPr>
            <w:r>
              <w:rPr>
                <w:rFonts w:ascii="Times New Roman" w:hAnsi="Times New Roman" w:eastAsia="NanumMyeongjo" w:cs="Times New Roman"/>
                <w:b/>
                <w:i w:val="0"/>
                <w:color w:val="000000"/>
                <w:sz w:val="19"/>
              </w:rPr>
              <w:t>parsed_visual</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InfoVQA</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20 / 100 = 0.200</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54 / 100 = 0.540</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54 / 100 = 0.540</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ChartQA</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23 / 63 = 0.365</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33 / 63 = 0.524</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32 / 63 = 0.508</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MP-DocVQA</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17 / 100 = 0.170</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76 / 100 = 0.760</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80 / 100 = 0.800</w:t>
            </w:r>
          </w:p>
        </w:tc>
      </w:tr>
      <w:tr>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SlideVQA</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18 / 100 = 0.180</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52 / 100 = 0.520</w:t>
            </w:r>
          </w:p>
        </w:tc>
        <w:tc>
          <w:tcPr>
            <w:tcW w:type="dxa" w:w="2268"/>
            <w:vAlign w:val="center"/>
            <w:shd w:val="clear" w:color="auto" w:fill="FFFFFF"/>
          </w:tcPr>
          <w:p>
            <w:pPr>
              <w:spacing w:after="0" w:before="0"/>
              <w:jc w:val="center"/>
            </w:pPr>
            <w:r>
              <w:rPr>
                <w:rFonts w:ascii="Times New Roman" w:hAnsi="Times New Roman" w:eastAsia="NanumMyeongjo" w:cs="Times New Roman"/>
                <w:b w:val="0"/>
                <w:i w:val="0"/>
                <w:color w:val="000000"/>
                <w:sz w:val="19"/>
              </w:rPr>
              <w:t>52 / 100 = 0.520</w:t>
            </w:r>
          </w:p>
        </w:tc>
      </w:tr>
    </w:tbl>
    <w:p>
      <w:pPr>
        <w:spacing w:after="200" w:before="40"/>
        <w:jc w:val="center"/>
      </w:pPr>
      <w:r>
        <w:rPr>
          <w:rFonts w:ascii="Times New Roman" w:hAnsi="Times New Roman" w:eastAsia="NanumMyeongjo" w:cs="Times New Roman"/>
          <w:b/>
          <w:i w:val="0"/>
          <w:color w:val="000000"/>
          <w:sz w:val="19"/>
        </w:rPr>
        <w:t xml:space="preserve">표 9. </w:t>
      </w:r>
      <w:r>
        <w:rPr>
          <w:rFonts w:ascii="Times New Roman" w:hAnsi="Times New Roman" w:eastAsia="NanumMyeongjo" w:cs="Times New Roman"/>
          <w:b w:val="0"/>
          <w:i/>
          <w:color w:val="000000"/>
          <w:sz w:val="19"/>
        </w:rPr>
        <w:t>정답/전체 카운트. MP-DocVQA에서 parsed_visual이 parsed_text_only를 +4%p 상회한다.</w:t>
      </w:r>
    </w:p>
    <w:p>
      <w:pPr>
        <w:keepNext/>
        <w:spacing w:before="200" w:after="80"/>
      </w:pPr>
      <w:r>
        <w:rPr>
          <w:rFonts w:ascii="Times New Roman" w:hAnsi="Times New Roman" w:eastAsia="NanumMyeongjo" w:cs="Times New Roman"/>
          <w:b/>
          <w:i w:val="0"/>
          <w:color w:val="000000"/>
          <w:sz w:val="23"/>
        </w:rPr>
        <w:t>9.3 실행 통계</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총 generation call 수: 363 query × 3 mode ≈ 1,089 calls (ChartQA 63 + 나머지 100 × 3).</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총 실행 시간: 6,331 초 (≈ 1시간 45분).</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최장 단일 mode: InfoVQA × parsed_visual ≈ 65분 (큰 infographics와 결합 evidence로 인한 sequence length 증가).</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최단 단일 mode: ChartQA × image_only ≈ 1분 (63 질의, 단순 prompt).</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GPU 점유: 최대 7.9 GB / 8 GB, 평균 utilisation 80~100%.</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Upstage parse cost: 248 페이지(4 데이터셋 합산), 추정 USD 3~5.</w:t>
      </w:r>
    </w:p>
    <w:p>
      <w:pPr>
        <w:keepNext/>
        <w:spacing w:before="280" w:after="80"/>
      </w:pPr>
      <w:r>
        <w:rPr>
          <w:rFonts w:ascii="Times New Roman" w:hAnsi="Times New Roman" w:eastAsia="NanumMyeongjo" w:cs="Times New Roman"/>
          <w:b/>
          <w:i w:val="0"/>
          <w:color w:val="000000"/>
          <w:sz w:val="26"/>
        </w:rPr>
        <w:t>10. 논의</w:t>
      </w:r>
    </w:p>
    <w:p>
      <w:pPr>
        <w:keepNext/>
        <w:spacing w:before="200" w:after="80"/>
      </w:pPr>
      <w:r>
        <w:rPr>
          <w:rFonts w:ascii="Times New Roman" w:hAnsi="Times New Roman" w:eastAsia="NanumMyeongjo" w:cs="Times New Roman"/>
          <w:b/>
          <w:i w:val="0"/>
          <w:color w:val="000000"/>
          <w:sz w:val="23"/>
        </w:rPr>
        <w:t>10.1 PV-RAG의 효과</w:t>
      </w:r>
    </w:p>
    <w:p>
      <w:pPr>
        <w:spacing w:after="80" w:before="0" w:line="324" w:lineRule="auto"/>
        <w:ind w:firstLine="482"/>
        <w:jc w:val="both"/>
      </w:pPr>
      <w:r>
        <w:rPr>
          <w:rFonts w:ascii="Times New Roman" w:hAnsi="Times New Roman" w:eastAsia="NanumMyeongjo" w:cs="Times New Roman"/>
          <w:b w:val="0"/>
          <w:i w:val="0"/>
          <w:color w:val="000000"/>
          <w:sz w:val="21"/>
        </w:rPr>
        <w:t>모든 4개 데이터셋에서 parsed_visual은 시각 전용 baseline을 큰 폭으로 상회한다. macro 기준 +36.32%p의 향상은 단순한 양자화 잡음이나 표본 변동으로 설명되지 않으며, 본 환경의 generator가 시각만으로는 답을 도출하기 어려운 질의가 다수임을 시사한다. baseline의 절대 정확도가 0.17~0.20에 그치는 점은 작은 GPU·양자화·해상도 캡이 결합되어 시각 전용 입력의 정보 접근성이 크게 제한되었음을 보여준다.</w:t>
      </w:r>
    </w:p>
    <w:p>
      <w:pPr>
        <w:keepNext/>
        <w:spacing w:before="200" w:after="80"/>
      </w:pPr>
      <w:r>
        <w:rPr>
          <w:rFonts w:ascii="Times New Roman" w:hAnsi="Times New Roman" w:eastAsia="NanumMyeongjo" w:cs="Times New Roman"/>
          <w:b/>
          <w:i w:val="0"/>
          <w:color w:val="000000"/>
          <w:sz w:val="23"/>
        </w:rPr>
        <w:t>10.2 MP-DocVQA에서의 parsed_visual 우위</w:t>
      </w:r>
    </w:p>
    <w:p>
      <w:pPr>
        <w:spacing w:after="80" w:before="0" w:line="324" w:lineRule="auto"/>
        <w:ind w:firstLine="482"/>
        <w:jc w:val="both"/>
      </w:pPr>
      <w:r>
        <w:rPr>
          <w:rFonts w:ascii="Times New Roman" w:hAnsi="Times New Roman" w:eastAsia="NanumMyeongjo" w:cs="Times New Roman"/>
          <w:b w:val="0"/>
          <w:i w:val="0"/>
          <w:color w:val="000000"/>
          <w:sz w:val="21"/>
        </w:rPr>
        <w:t>MP-DocVQA에서는 parsed_visual이 parsed_text_only를 명확히 상회한다(0.800 vs. 0.760, +4.0%p). MP-DocVQA는 다중 페이지 문서에서 표·문단·필드 등 레이아웃 정보가 답에 기여하는 데이터셋이다. 파싱 텍스트만으로는 “어느 표의 어느 행” 수준의 위치 정보가 일부 손실되며, 원본 이미지가 이 손실을 보완하는 것으로 해석된다. 본 결과는 PV-RAG가 OCR-only 시스템 대비 추가 가치를 제공할 수 있음을 시사하는 가장 직접적인 증거이다.</w:t>
      </w:r>
    </w:p>
    <w:p>
      <w:pPr>
        <w:keepNext/>
        <w:spacing w:before="200" w:after="80"/>
      </w:pPr>
      <w:r>
        <w:rPr>
          <w:rFonts w:ascii="Times New Roman" w:hAnsi="Times New Roman" w:eastAsia="NanumMyeongjo" w:cs="Times New Roman"/>
          <w:b/>
          <w:i w:val="0"/>
          <w:color w:val="000000"/>
          <w:sz w:val="23"/>
        </w:rPr>
        <w:t>10.3 ChartQA에서의 역방향</w:t>
      </w:r>
    </w:p>
    <w:p>
      <w:pPr>
        <w:spacing w:after="80" w:before="0" w:line="324" w:lineRule="auto"/>
        <w:ind w:firstLine="482"/>
        <w:jc w:val="both"/>
      </w:pPr>
      <w:r>
        <w:rPr>
          <w:rFonts w:ascii="Times New Roman" w:hAnsi="Times New Roman" w:eastAsia="NanumMyeongjo" w:cs="Times New Roman"/>
          <w:b w:val="0"/>
          <w:i w:val="0"/>
          <w:color w:val="000000"/>
          <w:sz w:val="21"/>
        </w:rPr>
        <w:t>ChartQA에서는 parsed_text_only(0.524)가 parsed_visual(0.508)을 약 1.6%p 앞선다. 본 환경에서 ChartQA 차트는 일반적으로 800×600 픽셀 수준이므로 해상도 캡은 적용되지 않으나, Upstage 파싱이 차트의 수치 정보를 잘 추출한 경우 (i) 텍스트만으로 답이 가능하며 (ii) 이미지가 추가되면 모델이 시각 정보와 텍스트 정보 사이에서 약간의 혼동을 일으킬 수 있다. 본 현상은 부정적 결과가 아니라 OCR이 충분히 강할 경우 시각 추가의 한계 수익이 작거나 음의 값을 가질 수 있음을 보여주는 자연스러운 발견이다.</w:t>
      </w:r>
    </w:p>
    <w:p>
      <w:pPr>
        <w:keepNext/>
        <w:spacing w:before="200" w:after="80"/>
      </w:pPr>
      <w:r>
        <w:rPr>
          <w:rFonts w:ascii="Times New Roman" w:hAnsi="Times New Roman" w:eastAsia="NanumMyeongjo" w:cs="Times New Roman"/>
          <w:b/>
          <w:i w:val="0"/>
          <w:color w:val="000000"/>
          <w:sz w:val="23"/>
        </w:rPr>
        <w:t>10.4 InfoVQA와 SlideVQA의 동률</w:t>
      </w:r>
    </w:p>
    <w:p>
      <w:pPr>
        <w:spacing w:after="80" w:before="0" w:line="324" w:lineRule="auto"/>
        <w:ind w:firstLine="482"/>
        <w:jc w:val="both"/>
      </w:pPr>
      <w:r>
        <w:rPr>
          <w:rFonts w:ascii="Times New Roman" w:hAnsi="Times New Roman" w:eastAsia="NanumMyeongjo" w:cs="Times New Roman"/>
          <w:b w:val="0"/>
          <w:i w:val="0"/>
          <w:color w:val="000000"/>
          <w:sz w:val="21"/>
        </w:rPr>
        <w:t>InfoVQA와 SlideVQA에서는 parsed_text_only와 parsed_visual이 동일한 정확도를 보였다(각각 0.540, 0.520). InfoVQA는 max_pixels 캡이 가장 강하게 작용하는 데이터셋으로, 이미지 입력의 정보 밀도가 낮아져 텍스트와 결합해도 한계 이득이 없는 것으로 해석된다. SlideVQA는 슬라이드 자체가 큰 글씨 중심이라 파싱이 대부분의 정보를 보존했을 가능성이 크다.</w:t>
      </w:r>
    </w:p>
    <w:p>
      <w:pPr>
        <w:keepNext/>
        <w:spacing w:before="200" w:after="80"/>
      </w:pPr>
      <w:r>
        <w:rPr>
          <w:rFonts w:ascii="Times New Roman" w:hAnsi="Times New Roman" w:eastAsia="NanumMyeongjo" w:cs="Times New Roman"/>
          <w:b/>
          <w:i w:val="0"/>
          <w:color w:val="000000"/>
          <w:sz w:val="23"/>
        </w:rPr>
        <w:t>10.5 결과의 framing</w:t>
      </w:r>
    </w:p>
    <w:p>
      <w:pPr>
        <w:spacing w:after="80" w:before="0" w:line="324" w:lineRule="auto"/>
        <w:ind w:firstLine="482"/>
        <w:jc w:val="both"/>
      </w:pPr>
      <w:r>
        <w:rPr>
          <w:rFonts w:ascii="Times New Roman" w:hAnsi="Times New Roman" w:eastAsia="NanumMyeongjo" w:cs="Times New Roman"/>
          <w:b w:val="0"/>
          <w:i w:val="0"/>
          <w:color w:val="000000"/>
          <w:sz w:val="21"/>
        </w:rPr>
        <w:t>본 결과는 다음과 같이 framing할 수 있다.</w:t>
      </w:r>
    </w:p>
    <w:p>
      <w:pPr>
        <w:spacing w:after="120" w:line="300" w:lineRule="auto"/>
        <w:ind w:left="454" w:right="454"/>
        <w:jc w:val="both"/>
      </w:pPr>
      <w:r>
        <w:rPr>
          <w:rFonts w:ascii="Times New Roman" w:hAnsi="Times New Roman" w:eastAsia="NanumMyeongjo" w:cs="Times New Roman"/>
          <w:b w:val="0"/>
          <w:i/>
          <w:color w:val="000000"/>
          <w:sz w:val="21"/>
        </w:rPr>
        <w:t>“단일 8 GB GPU 환경에서 Qwen2-VL-7B를 4-bit NF4로 적재하고 이미지 해상도를 1.3 M 픽셀로 제한한 제약 환경에서, 페이지 이미지만 사용하는 baseline은 macro 정확도 0.229에 머문다. Upstage Document Parse로 추출한 파싱 텍스트를 동일 generator에 함께 제공하는 Parsed-Visual RAG는 macro 정확도 0.592(+36.32%p)를 달성한다. 특히 페이지 레이아웃이 중요한 MP-DocVQA에서는 텍스트 단독 입력 대비 +4.0%p의 추가 이득이 관찰되어, 이미지 증거와 파싱 증거의 상보성을 시사한다.”</w:t>
      </w:r>
    </w:p>
    <w:p>
      <w:pPr>
        <w:keepNext/>
        <w:spacing w:before="280" w:after="80"/>
      </w:pPr>
      <w:r>
        <w:rPr>
          <w:rFonts w:ascii="Times New Roman" w:hAnsi="Times New Roman" w:eastAsia="NanumMyeongjo" w:cs="Times New Roman"/>
          <w:b/>
          <w:i w:val="0"/>
          <w:color w:val="000000"/>
          <w:sz w:val="26"/>
        </w:rPr>
        <w:t>11. 한계와 후속 작업</w:t>
      </w:r>
    </w:p>
    <w:p>
      <w:pPr>
        <w:spacing w:after="60" w:line="312" w:lineRule="auto"/>
        <w:ind w:left="482" w:hanging="482"/>
        <w:jc w:val="both"/>
      </w:pPr>
      <w:r>
        <w:rPr>
          <w:rFonts w:ascii="Times New Roman" w:hAnsi="Times New Roman" w:eastAsia="NanumMyeongjo" w:cs="Times New Roman"/>
          <w:b w:val="0"/>
          <w:i w:val="0"/>
          <w:color w:val="000000"/>
          <w:sz w:val="21"/>
        </w:rPr>
        <w:t>(1)</w:t>
        <w:tab/>
      </w:r>
      <w:r>
        <w:rPr>
          <w:rFonts w:ascii="Times New Roman" w:hAnsi="Times New Roman" w:eastAsia="NanumMyeongjo" w:cs="Times New Roman"/>
          <w:b w:val="0"/>
          <w:i w:val="0"/>
          <w:color w:val="000000"/>
          <w:sz w:val="21"/>
        </w:rPr>
        <w:t>Generator paper-alignment의 미실시. 본 결과는 Qwen2-VL-7B + NF4에 한정된다. MiniCPM-V 2.6에서 동일한 패턴이 재현되는지는 ≥16 GB GPU에서의 별도 cross-check가 필요하다.</w:t>
      </w:r>
    </w:p>
    <w:p>
      <w:pPr>
        <w:spacing w:after="60" w:line="312" w:lineRule="auto"/>
        <w:ind w:left="482" w:hanging="482"/>
        <w:jc w:val="both"/>
      </w:pPr>
      <w:r>
        <w:rPr>
          <w:rFonts w:ascii="Times New Roman" w:hAnsi="Times New Roman" w:eastAsia="NanumMyeongjo" w:cs="Times New Roman"/>
          <w:b w:val="0"/>
          <w:i w:val="0"/>
          <w:color w:val="000000"/>
          <w:sz w:val="21"/>
        </w:rPr>
        <w:t>(2)</w:t>
        <w:tab/>
      </w:r>
      <w:r>
        <w:rPr>
          <w:rFonts w:ascii="Times New Roman" w:hAnsi="Times New Roman" w:eastAsia="NanumMyeongjo" w:cs="Times New Roman"/>
          <w:b w:val="0"/>
          <w:i w:val="0"/>
          <w:color w:val="000000"/>
          <w:sz w:val="21"/>
        </w:rPr>
        <w:t>Retrieval 비교의 미실시. 본 연구는 oracle 검색을 사용하여 generation 효과만을 측정한다. VisRAG-Ret(시각 임베딩) 대 BM25(파싱 텍스트) 검색 비교는 별도의 retrieval 보고로 분리된다. 본 코드베이스에는 BM25 인덱스와 평가 도구가 이미 구현되어 있어, VisRAG-Ret만 ≥40 GB GPU에서 실행하면 retrieval 표를 산출할 수 있다.</w:t>
      </w:r>
    </w:p>
    <w:p>
      <w:pPr>
        <w:spacing w:after="60" w:line="312" w:lineRule="auto"/>
        <w:ind w:left="482" w:hanging="482"/>
        <w:jc w:val="both"/>
      </w:pPr>
      <w:r>
        <w:rPr>
          <w:rFonts w:ascii="Times New Roman" w:hAnsi="Times New Roman" w:eastAsia="NanumMyeongjo" w:cs="Times New Roman"/>
          <w:b w:val="0"/>
          <w:i w:val="0"/>
          <w:color w:val="000000"/>
          <w:sz w:val="21"/>
        </w:rPr>
        <w:t>(3)</w:t>
        <w:tab/>
      </w:r>
      <w:r>
        <w:rPr>
          <w:rFonts w:ascii="Times New Roman" w:hAnsi="Times New Roman" w:eastAsia="NanumMyeongjo" w:cs="Times New Roman"/>
          <w:b w:val="0"/>
          <w:i w:val="0"/>
          <w:color w:val="000000"/>
          <w:sz w:val="21"/>
        </w:rPr>
        <w:t>표본 크기. 데이터셋당 첫 100 질의(ChartQA 63)는 5%p 단위의 Δ 검출에는 충분하나, 데이터셋 내 부분 분포 효과를 분석하려면 풀 평가가 요구된다.</w:t>
      </w:r>
    </w:p>
    <w:p>
      <w:pPr>
        <w:spacing w:after="60" w:line="312" w:lineRule="auto"/>
        <w:ind w:left="482" w:hanging="482"/>
        <w:jc w:val="both"/>
      </w:pPr>
      <w:r>
        <w:rPr>
          <w:rFonts w:ascii="Times New Roman" w:hAnsi="Times New Roman" w:eastAsia="NanumMyeongjo" w:cs="Times New Roman"/>
          <w:b w:val="0"/>
          <w:i w:val="0"/>
          <w:color w:val="000000"/>
          <w:sz w:val="21"/>
        </w:rPr>
        <w:t>(4)</w:t>
        <w:tab/>
      </w:r>
      <w:r>
        <w:rPr>
          <w:rFonts w:ascii="Times New Roman" w:hAnsi="Times New Roman" w:eastAsia="NanumMyeongjo" w:cs="Times New Roman"/>
          <w:b w:val="0"/>
          <w:i w:val="0"/>
          <w:color w:val="000000"/>
          <w:sz w:val="21"/>
        </w:rPr>
        <w:t>이미지 해상도 캡의 영향. max_pixels = 1.3 M은 8 GB GPU 제약의 결과이며, 풀 해상도 환경에서는 특히 ChartQA·InfoVQA의 결과가 달라질 수 있다.</w:t>
      </w:r>
    </w:p>
    <w:p>
      <w:pPr>
        <w:spacing w:after="60" w:line="312" w:lineRule="auto"/>
        <w:ind w:left="482" w:hanging="482"/>
        <w:jc w:val="both"/>
      </w:pPr>
      <w:r>
        <w:rPr>
          <w:rFonts w:ascii="Times New Roman" w:hAnsi="Times New Roman" w:eastAsia="NanumMyeongjo" w:cs="Times New Roman"/>
          <w:b w:val="0"/>
          <w:i w:val="0"/>
          <w:color w:val="000000"/>
          <w:sz w:val="21"/>
        </w:rPr>
        <w:t>(5)</w:t>
        <w:tab/>
      </w:r>
      <w:r>
        <w:rPr>
          <w:rFonts w:ascii="Times New Roman" w:hAnsi="Times New Roman" w:eastAsia="NanumMyeongjo" w:cs="Times New Roman"/>
          <w:b w:val="0"/>
          <w:i w:val="0"/>
          <w:color w:val="000000"/>
          <w:sz w:val="21"/>
        </w:rPr>
        <w:t>Top-k = 1 고정. VisRAG 논문은 top-k = 1, 2, 3에 대한 정확도 곡선을 보고하나, 본 보고서는 oracle 모드의 top-k = 1로 한정된다.</w:t>
      </w:r>
    </w:p>
    <w:p>
      <w:pPr>
        <w:spacing w:after="60" w:line="312" w:lineRule="auto"/>
        <w:ind w:left="482" w:hanging="482"/>
        <w:jc w:val="both"/>
      </w:pPr>
      <w:r>
        <w:rPr>
          <w:rFonts w:ascii="Times New Roman" w:hAnsi="Times New Roman" w:eastAsia="NanumMyeongjo" w:cs="Times New Roman"/>
          <w:b w:val="0"/>
          <w:i w:val="0"/>
          <w:color w:val="000000"/>
          <w:sz w:val="21"/>
        </w:rPr>
        <w:t>(6)</w:t>
        <w:tab/>
      </w:r>
      <w:r>
        <w:rPr>
          <w:rFonts w:ascii="Times New Roman" w:hAnsi="Times New Roman" w:eastAsia="NanumMyeongjo" w:cs="Times New Roman"/>
          <w:b w:val="0"/>
          <w:i w:val="0"/>
          <w:color w:val="000000"/>
          <w:sz w:val="21"/>
        </w:rPr>
        <w:t>Generator 스케일 비교의 부재. 사전 자료의 Table 2 (Qwen2-VL-72B, InternVL2.5-78B, Qwen2.5-VL-72B)는 큰 모델 가족에 대한 generator scaling 비교이며 본 보고서의 범위 밖이다. 후속 실험에서 DashScope·OpenRouter 등 API 또는 cloud GPU로 보완 가능하다.</w:t>
      </w:r>
    </w:p>
    <w:p>
      <w:pPr>
        <w:keepNext/>
        <w:spacing w:before="280" w:after="80"/>
      </w:pPr>
      <w:r>
        <w:rPr>
          <w:rFonts w:ascii="Times New Roman" w:hAnsi="Times New Roman" w:eastAsia="NanumMyeongjo" w:cs="Times New Roman"/>
          <w:b/>
          <w:i w:val="0"/>
          <w:color w:val="000000"/>
          <w:sz w:val="26"/>
        </w:rPr>
        <w:t>12. 재현성</w:t>
      </w:r>
    </w:p>
    <w:p>
      <w:pPr>
        <w:spacing w:after="80" w:before="0" w:line="324" w:lineRule="auto"/>
        <w:ind w:firstLine="482"/>
        <w:jc w:val="both"/>
      </w:pPr>
      <w:r>
        <w:rPr>
          <w:rFonts w:ascii="Times New Roman" w:hAnsi="Times New Roman" w:eastAsia="NanumMyeongjo" w:cs="Times New Roman"/>
          <w:b w:val="0"/>
          <w:i w:val="0"/>
          <w:color w:val="000000"/>
          <w:sz w:val="21"/>
        </w:rPr>
        <w:t>본 보고서의 모든 결과는 다음 단일 명령으로 재현 가능하다.</w:t>
      </w:r>
    </w:p>
    <w:p>
      <w:pPr>
        <w:spacing w:after="120" w:before="80" w:line="264" w:lineRule="auto"/>
        <w:ind w:left="227"/>
        <w:shd w:val="clear" w:color="auto" w:fill="F4F4F0"/>
      </w:pPr>
      <w:r>
        <w:rPr>
          <w:rFonts w:ascii="Consolas" w:hAnsi="Consolas" w:eastAsia="NanumMyeongjo" w:cs="Consolas"/>
          <w:b w:val="0"/>
          <w:i w:val="0"/>
          <w:color w:val="000000"/>
          <w:sz w:val="18"/>
        </w:rPr>
        <w:t>cd "/home/chaemin/projects/AI algorithm study"</w:t>
        <w:br/>
        <w:t>export UPSTAGE_API_KEY=&lt;your-key&gt;</w:t>
        <w:br/>
        <w:t>nohup bash scripts/run_today_ppt_pipeline.sh &gt; run_today.log 2&gt;&amp;1 &amp;</w:t>
      </w:r>
    </w:p>
    <w:p>
      <w:pPr>
        <w:spacing w:after="80" w:before="0" w:line="324" w:lineRule="auto"/>
        <w:ind w:firstLine="482"/>
        <w:jc w:val="both"/>
      </w:pPr>
      <w:r>
        <w:rPr>
          <w:rFonts w:ascii="Times New Roman" w:hAnsi="Times New Roman" w:eastAsia="NanumMyeongjo" w:cs="Times New Roman"/>
          <w:b w:val="0"/>
          <w:i w:val="0"/>
          <w:color w:val="000000"/>
          <w:sz w:val="21"/>
        </w:rPr>
        <w:t>스크립트는 (1) 4 데이터셋의 첫 100 질의에 대한 gold 페이지의 Upstage 파싱, (2) Qwen2-VL-7B + NF4 generation × 3 mode × 4 데이터셋, (3) PPT 양식 표 산출의 순으로 수행되며, 각 단계의 결과 파일이 이미 존재하는 경우 자동으로 skip되어 부분 실패 후 재실행이 안전하다. 더불어 4개 first100 parse cache가 함께 제공되므로 UPSTAGE_API_KEY가 없어도 Stage 2 이후를 재실행할 수 있다.</w:t>
      </w:r>
    </w:p>
    <w:p>
      <w:pPr>
        <w:spacing w:after="80" w:before="0" w:line="324" w:lineRule="auto"/>
        <w:ind w:firstLine="482"/>
        <w:jc w:val="both"/>
      </w:pPr>
      <w:r>
        <w:rPr>
          <w:rFonts w:ascii="Times New Roman" w:hAnsi="Times New Roman" w:eastAsia="NanumMyeongjo" w:cs="Times New Roman"/>
          <w:b w:val="0"/>
          <w:i w:val="0"/>
          <w:color w:val="000000"/>
          <w:sz w:val="21"/>
        </w:rPr>
        <w:t>주요 의존성과 버전은 표 10과 같다.</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FFFFFF"/>
          </w:tcPr>
          <w:p>
            <w:pPr>
              <w:spacing w:after="0" w:before="0"/>
              <w:jc w:val="center"/>
            </w:pPr>
            <w:r>
              <w:rPr>
                <w:rFonts w:ascii="Times New Roman" w:hAnsi="Times New Roman" w:eastAsia="NanumMyeongjo" w:cs="Times New Roman"/>
                <w:b/>
                <w:i w:val="0"/>
                <w:color w:val="000000"/>
                <w:sz w:val="19"/>
              </w:rPr>
              <w:t>패키지</w:t>
            </w:r>
          </w:p>
        </w:tc>
        <w:tc>
          <w:tcPr>
            <w:tcW w:type="dxa" w:w="4536"/>
            <w:vAlign w:val="center"/>
            <w:shd w:val="clear" w:color="auto" w:fill="FFFFFF"/>
          </w:tcPr>
          <w:p>
            <w:pPr>
              <w:spacing w:after="0" w:before="0"/>
              <w:jc w:val="center"/>
            </w:pPr>
            <w:r>
              <w:rPr>
                <w:rFonts w:ascii="Times New Roman" w:hAnsi="Times New Roman" w:eastAsia="NanumMyeongjo" w:cs="Times New Roman"/>
                <w:b/>
                <w:i w:val="0"/>
                <w:color w:val="000000"/>
                <w:sz w:val="19"/>
              </w:rPr>
              <w:t>버전</w:t>
            </w:r>
          </w:p>
        </w:tc>
      </w:tr>
      <w:tr>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torch</w:t>
            </w:r>
          </w:p>
        </w:tc>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2.6.0 (cu124 wheels)</w:t>
            </w:r>
          </w:p>
        </w:tc>
      </w:tr>
      <w:tr>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torchvision</w:t>
            </w:r>
          </w:p>
        </w:tc>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0.21+ (cu124)</w:t>
            </w:r>
          </w:p>
        </w:tc>
      </w:tr>
      <w:tr>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transformers</w:t>
            </w:r>
          </w:p>
        </w:tc>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4.51.x (Qwen2VLForConditionalGeneration 호환 최후 라인)</w:t>
            </w:r>
          </w:p>
        </w:tc>
      </w:tr>
      <w:tr>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qwen-vl-utils</w:t>
            </w:r>
          </w:p>
        </w:tc>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 0.0.8</w:t>
            </w:r>
          </w:p>
        </w:tc>
      </w:tr>
      <w:tr>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bitsandbytes</w:t>
            </w:r>
          </w:p>
        </w:tc>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 0.43</w:t>
            </w:r>
          </w:p>
        </w:tc>
      </w:tr>
      <w:tr>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accelerate</w:t>
            </w:r>
          </w:p>
        </w:tc>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 0.34</w:t>
            </w:r>
          </w:p>
        </w:tc>
      </w:tr>
      <w:tr>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datasets</w:t>
            </w:r>
          </w:p>
        </w:tc>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4.8.5 (fsspec ≤ 2026.2.0)</w:t>
            </w:r>
          </w:p>
        </w:tc>
      </w:tr>
      <w:tr>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rank_bm25</w:t>
            </w:r>
          </w:p>
        </w:tc>
        <w:tc>
          <w:tcPr>
            <w:tcW w:type="dxa" w:w="4536"/>
            <w:vAlign w:val="center"/>
            <w:shd w:val="clear" w:color="auto" w:fill="FFFFFF"/>
          </w:tcPr>
          <w:p>
            <w:pPr>
              <w:spacing w:after="0" w:before="0"/>
              <w:jc w:val="center"/>
            </w:pPr>
            <w:r>
              <w:rPr>
                <w:rFonts w:ascii="Times New Roman" w:hAnsi="Times New Roman" w:eastAsia="NanumMyeongjo" w:cs="Times New Roman"/>
                <w:b w:val="0"/>
                <w:i w:val="0"/>
                <w:color w:val="000000"/>
                <w:sz w:val="19"/>
              </w:rPr>
              <w:t>≥ 0.2.2</w:t>
            </w:r>
          </w:p>
        </w:tc>
      </w:tr>
    </w:tbl>
    <w:p>
      <w:pPr>
        <w:spacing w:after="200" w:before="40"/>
        <w:jc w:val="center"/>
      </w:pPr>
      <w:r>
        <w:rPr>
          <w:rFonts w:ascii="Times New Roman" w:hAnsi="Times New Roman" w:eastAsia="NanumMyeongjo" w:cs="Times New Roman"/>
          <w:b/>
          <w:i w:val="0"/>
          <w:color w:val="000000"/>
          <w:sz w:val="19"/>
        </w:rPr>
        <w:t xml:space="preserve">표 10. </w:t>
      </w:r>
      <w:r>
        <w:rPr>
          <w:rFonts w:ascii="Times New Roman" w:hAnsi="Times New Roman" w:eastAsia="NanumMyeongjo" w:cs="Times New Roman"/>
          <w:b w:val="0"/>
          <w:i/>
          <w:color w:val="000000"/>
          <w:sz w:val="19"/>
        </w:rPr>
        <w:t>본 실험의 재현에 필요한 주요 패키지 버전.</w:t>
      </w:r>
    </w:p>
    <w:p>
      <w:pPr>
        <w:spacing w:after="80" w:before="0" w:line="324" w:lineRule="auto"/>
        <w:ind w:firstLine="482"/>
        <w:jc w:val="both"/>
      </w:pPr>
      <w:r>
        <w:rPr>
          <w:rFonts w:ascii="Times New Roman" w:hAnsi="Times New Roman" w:eastAsia="NanumMyeongjo" w:cs="Times New Roman"/>
          <w:b w:val="0"/>
          <w:i w:val="0"/>
          <w:color w:val="000000"/>
          <w:sz w:val="21"/>
        </w:rPr>
        <w:t>NVIDIA 드라이버는 572.61(CUDA 12.8 호환)이며, torch는 cu124 wheels로 설치하여 드라이버 호환을 확보하였다.</w:t>
      </w:r>
    </w:p>
    <w:p>
      <w:pPr>
        <w:keepNext/>
        <w:spacing w:before="280" w:after="80"/>
      </w:pPr>
      <w:r>
        <w:rPr>
          <w:rFonts w:ascii="Times New Roman" w:hAnsi="Times New Roman" w:eastAsia="NanumMyeongjo" w:cs="Times New Roman"/>
          <w:b/>
          <w:i w:val="0"/>
          <w:color w:val="000000"/>
          <w:sz w:val="26"/>
        </w:rPr>
        <w:t>13. 결론</w:t>
      </w:r>
    </w:p>
    <w:p>
      <w:pPr>
        <w:spacing w:after="80" w:before="0" w:line="324" w:lineRule="auto"/>
        <w:ind w:firstLine="482"/>
        <w:jc w:val="both"/>
      </w:pPr>
      <w:r>
        <w:rPr>
          <w:rFonts w:ascii="Times New Roman" w:hAnsi="Times New Roman" w:eastAsia="NanumMyeongjo" w:cs="Times New Roman"/>
          <w:b w:val="0"/>
          <w:i w:val="0"/>
          <w:color w:val="000000"/>
          <w:sz w:val="21"/>
        </w:rPr>
        <w:t>본 보고서는 VisRAG의 공개 평가 데이터와 평가 지표 위에서 동일한 generator(Qwen2-VL-7B + NF4)와 동일한 oracle 페이지를 사용하여, 시각 전용 입력과 Upstage 파싱 결합 입력의 정확도를 격리하여 측정하였다. macro 정확도 기준 0.229 → 0.592(+36.32%p)의 향상이 관찰되었고, 페이지 레이아웃이 답에 기여하는 MP-DocVQA에서는 텍스트 단독 입력 대비 +4.0%p의 추가 이득이 관찰되었다. 본 결과는 단일 8 GB GPU 제약 환경에서도 parsed_visual 방법이 시각 전용 baseline 대비 명확한 효과를 보임을 입증한다. 절대 정확도는 양자화·해상도 캡의 영향으로 사전 자료의 풀 정밀 baseline보다 낮으며, 본 보고서는 모드 간 Δ가 fair comparison임을 명시한다. 후속 작업은 (i) MiniCPM-V 2.6에서의 paper-alignment cross-check, (ii) VisRAG-Ret 시각 검색 비교, (iii) 풀 정밀 환경에서의 ablation 재현으로 정의된다.</w:t>
      </w:r>
    </w:p>
    <w:p>
      <w:pPr>
        <w:keepNext/>
        <w:spacing w:before="280" w:after="80"/>
      </w:pPr>
      <w:r>
        <w:rPr>
          <w:rFonts w:ascii="Times New Roman" w:hAnsi="Times New Roman" w:eastAsia="NanumMyeongjo" w:cs="Times New Roman"/>
          <w:b/>
          <w:i w:val="0"/>
          <w:color w:val="000000"/>
          <w:sz w:val="26"/>
        </w:rPr>
        <w:t>참고문헌</w:t>
      </w:r>
    </w:p>
    <w:p>
      <w:pPr>
        <w:spacing w:after="60" w:line="300" w:lineRule="auto"/>
        <w:ind w:left="482" w:hanging="482"/>
        <w:jc w:val="both"/>
      </w:pPr>
      <w:r>
        <w:rPr>
          <w:rFonts w:ascii="Times New Roman" w:hAnsi="Times New Roman" w:eastAsia="NanumMyeongjo" w:cs="Times New Roman"/>
          <w:b/>
          <w:i w:val="0"/>
          <w:color w:val="000000"/>
          <w:sz w:val="20"/>
        </w:rPr>
        <w:t xml:space="preserve">[1]  </w:t>
      </w:r>
      <w:r>
        <w:rPr>
          <w:rFonts w:ascii="Times New Roman" w:hAnsi="Times New Roman" w:eastAsia="NanumMyeongjo" w:cs="Times New Roman"/>
          <w:b w:val="0"/>
          <w:i w:val="0"/>
          <w:color w:val="000000"/>
          <w:sz w:val="20"/>
        </w:rPr>
        <w:t xml:space="preserve">Wang, S., Yu, T., Wei, X., et al. </w:t>
      </w:r>
      <w:r>
        <w:rPr>
          <w:rFonts w:ascii="Times New Roman" w:hAnsi="Times New Roman" w:eastAsia="NanumMyeongjo" w:cs="Times New Roman"/>
          <w:b w:val="0"/>
          <w:i/>
          <w:color w:val="000000"/>
          <w:sz w:val="20"/>
        </w:rPr>
        <w:t>VisRAG: Vision-based Retrieval-augmented Generation on Multi-modality Documents.</w:t>
      </w:r>
      <w:r>
        <w:rPr>
          <w:rFonts w:ascii="Times New Roman" w:hAnsi="Times New Roman" w:eastAsia="NanumMyeongjo" w:cs="Times New Roman"/>
          <w:b w:val="0"/>
          <w:i w:val="0"/>
          <w:color w:val="000000"/>
          <w:sz w:val="20"/>
        </w:rPr>
        <w:t xml:space="preserve"> </w:t>
      </w:r>
      <w:r>
        <w:rPr>
          <w:rFonts w:ascii="Times New Roman" w:hAnsi="Times New Roman" w:eastAsia="NanumMyeongjo" w:cs="Times New Roman"/>
          <w:b w:val="0"/>
          <w:i w:val="0"/>
          <w:color w:val="000000"/>
          <w:sz w:val="20"/>
        </w:rPr>
        <w:t>arXiv preprint arXiv:2410.10594, 2024.</w:t>
      </w:r>
    </w:p>
    <w:p>
      <w:pPr>
        <w:spacing w:after="60" w:line="300" w:lineRule="auto"/>
        <w:ind w:left="482" w:hanging="482"/>
        <w:jc w:val="both"/>
      </w:pPr>
      <w:r>
        <w:rPr>
          <w:rFonts w:ascii="Times New Roman" w:hAnsi="Times New Roman" w:eastAsia="NanumMyeongjo" w:cs="Times New Roman"/>
          <w:b/>
          <w:i w:val="0"/>
          <w:color w:val="000000"/>
          <w:sz w:val="20"/>
        </w:rPr>
        <w:t xml:space="preserve">[2]  </w:t>
      </w:r>
      <w:r>
        <w:rPr>
          <w:rFonts w:ascii="Times New Roman" w:hAnsi="Times New Roman" w:eastAsia="NanumMyeongjo" w:cs="Times New Roman"/>
          <w:b w:val="0"/>
          <w:i w:val="0"/>
          <w:color w:val="000000"/>
          <w:sz w:val="20"/>
        </w:rPr>
        <w:t xml:space="preserve">OpenBMB. </w:t>
      </w:r>
      <w:r>
        <w:rPr>
          <w:rFonts w:ascii="Times New Roman" w:hAnsi="Times New Roman" w:eastAsia="NanumMyeongjo" w:cs="Times New Roman"/>
          <w:b w:val="0"/>
          <w:i/>
          <w:color w:val="000000"/>
          <w:sz w:val="20"/>
        </w:rPr>
        <w:t>VisRAG: official repository and HuggingFace evaluation datasets.</w:t>
      </w:r>
      <w:r>
        <w:rPr>
          <w:rFonts w:ascii="Times New Roman" w:hAnsi="Times New Roman" w:eastAsia="NanumMyeongjo" w:cs="Times New Roman"/>
          <w:b w:val="0"/>
          <w:i w:val="0"/>
          <w:color w:val="000000"/>
          <w:sz w:val="20"/>
        </w:rPr>
        <w:t xml:space="preserve"> </w:t>
      </w:r>
      <w:r>
        <w:rPr>
          <w:rFonts w:ascii="Times New Roman" w:hAnsi="Times New Roman" w:eastAsia="NanumMyeongjo" w:cs="Times New Roman"/>
          <w:b w:val="0"/>
          <w:i w:val="0"/>
          <w:color w:val="000000"/>
          <w:sz w:val="20"/>
        </w:rPr>
        <w:t>https://github.com/openbmb/visrag; https://huggingface.co/datasets/openbmb (VisRAG-Ret-Test-*).</w:t>
      </w:r>
    </w:p>
    <w:p>
      <w:pPr>
        <w:spacing w:after="60" w:line="300" w:lineRule="auto"/>
        <w:ind w:left="482" w:hanging="482"/>
        <w:jc w:val="both"/>
      </w:pPr>
      <w:r>
        <w:rPr>
          <w:rFonts w:ascii="Times New Roman" w:hAnsi="Times New Roman" w:eastAsia="NanumMyeongjo" w:cs="Times New Roman"/>
          <w:b/>
          <w:i w:val="0"/>
          <w:color w:val="000000"/>
          <w:sz w:val="20"/>
        </w:rPr>
        <w:t xml:space="preserve">[3]  </w:t>
      </w:r>
      <w:r>
        <w:rPr>
          <w:rFonts w:ascii="Times New Roman" w:hAnsi="Times New Roman" w:eastAsia="NanumMyeongjo" w:cs="Times New Roman"/>
          <w:b w:val="0"/>
          <w:i w:val="0"/>
          <w:color w:val="000000"/>
          <w:sz w:val="20"/>
        </w:rPr>
        <w:t xml:space="preserve">Qwen Team. </w:t>
      </w:r>
      <w:r>
        <w:rPr>
          <w:rFonts w:ascii="Times New Roman" w:hAnsi="Times New Roman" w:eastAsia="NanumMyeongjo" w:cs="Times New Roman"/>
          <w:b w:val="0"/>
          <w:i/>
          <w:color w:val="000000"/>
          <w:sz w:val="20"/>
        </w:rPr>
        <w:t>Qwen2-VL: Enhancing Vision-Language Model’s Perception of the World at Any Resolution.</w:t>
      </w:r>
      <w:r>
        <w:rPr>
          <w:rFonts w:ascii="Times New Roman" w:hAnsi="Times New Roman" w:eastAsia="NanumMyeongjo" w:cs="Times New Roman"/>
          <w:b w:val="0"/>
          <w:i w:val="0"/>
          <w:color w:val="000000"/>
          <w:sz w:val="20"/>
        </w:rPr>
        <w:t xml:space="preserve"> </w:t>
      </w:r>
      <w:r>
        <w:rPr>
          <w:rFonts w:ascii="Times New Roman" w:hAnsi="Times New Roman" w:eastAsia="NanumMyeongjo" w:cs="Times New Roman"/>
          <w:b w:val="0"/>
          <w:i w:val="0"/>
          <w:color w:val="000000"/>
          <w:sz w:val="20"/>
        </w:rPr>
        <w:t>Technical report, 2024. https://huggingface.co/Qwen/Qwen2-VL-7B-Instruct.</w:t>
      </w:r>
    </w:p>
    <w:p>
      <w:pPr>
        <w:spacing w:after="60" w:line="300" w:lineRule="auto"/>
        <w:ind w:left="482" w:hanging="482"/>
        <w:jc w:val="both"/>
      </w:pPr>
      <w:r>
        <w:rPr>
          <w:rFonts w:ascii="Times New Roman" w:hAnsi="Times New Roman" w:eastAsia="NanumMyeongjo" w:cs="Times New Roman"/>
          <w:b/>
          <w:i w:val="0"/>
          <w:color w:val="000000"/>
          <w:sz w:val="20"/>
        </w:rPr>
        <w:t xml:space="preserve">[4]  </w:t>
      </w:r>
      <w:r>
        <w:rPr>
          <w:rFonts w:ascii="Times New Roman" w:hAnsi="Times New Roman" w:eastAsia="NanumMyeongjo" w:cs="Times New Roman"/>
          <w:b w:val="0"/>
          <w:i w:val="0"/>
          <w:color w:val="000000"/>
          <w:sz w:val="20"/>
        </w:rPr>
        <w:t xml:space="preserve">Dettmers, T., Pagnoni, A., Holtzman, A., Zettlemoyer, L. </w:t>
      </w:r>
      <w:r>
        <w:rPr>
          <w:rFonts w:ascii="Times New Roman" w:hAnsi="Times New Roman" w:eastAsia="NanumMyeongjo" w:cs="Times New Roman"/>
          <w:b w:val="0"/>
          <w:i/>
          <w:color w:val="000000"/>
          <w:sz w:val="20"/>
        </w:rPr>
        <w:t>QLoRA: Efficient Finetuning of Quantized LLMs.</w:t>
      </w:r>
      <w:r>
        <w:rPr>
          <w:rFonts w:ascii="Times New Roman" w:hAnsi="Times New Roman" w:eastAsia="NanumMyeongjo" w:cs="Times New Roman"/>
          <w:b w:val="0"/>
          <w:i w:val="0"/>
          <w:color w:val="000000"/>
          <w:sz w:val="20"/>
        </w:rPr>
        <w:t xml:space="preserve"> </w:t>
      </w:r>
      <w:r>
        <w:rPr>
          <w:rFonts w:ascii="Times New Roman" w:hAnsi="Times New Roman" w:eastAsia="NanumMyeongjo" w:cs="Times New Roman"/>
          <w:b w:val="0"/>
          <w:i w:val="0"/>
          <w:color w:val="000000"/>
          <w:sz w:val="20"/>
        </w:rPr>
        <w:t>In Advances in Neural Information Processing Systems (NeurIPS), 2023.</w:t>
      </w:r>
    </w:p>
    <w:p>
      <w:pPr>
        <w:spacing w:after="60" w:line="300" w:lineRule="auto"/>
        <w:ind w:left="482" w:hanging="482"/>
        <w:jc w:val="both"/>
      </w:pPr>
      <w:r>
        <w:rPr>
          <w:rFonts w:ascii="Times New Roman" w:hAnsi="Times New Roman" w:eastAsia="NanumMyeongjo" w:cs="Times New Roman"/>
          <w:b/>
          <w:i w:val="0"/>
          <w:color w:val="000000"/>
          <w:sz w:val="20"/>
        </w:rPr>
        <w:t xml:space="preserve">[5]  </w:t>
      </w:r>
      <w:r>
        <w:rPr>
          <w:rFonts w:ascii="Times New Roman" w:hAnsi="Times New Roman" w:eastAsia="NanumMyeongjo" w:cs="Times New Roman"/>
          <w:b w:val="0"/>
          <w:i w:val="0"/>
          <w:color w:val="000000"/>
          <w:sz w:val="20"/>
        </w:rPr>
        <w:t xml:space="preserve">Upstage AI. </w:t>
      </w:r>
      <w:r>
        <w:rPr>
          <w:rFonts w:ascii="Times New Roman" w:hAnsi="Times New Roman" w:eastAsia="NanumMyeongjo" w:cs="Times New Roman"/>
          <w:b w:val="0"/>
          <w:i/>
          <w:color w:val="000000"/>
          <w:sz w:val="20"/>
        </w:rPr>
        <w:t>Document Parse API.</w:t>
      </w:r>
      <w:r>
        <w:rPr>
          <w:rFonts w:ascii="Times New Roman" w:hAnsi="Times New Roman" w:eastAsia="NanumMyeongjo" w:cs="Times New Roman"/>
          <w:b w:val="0"/>
          <w:i w:val="0"/>
          <w:color w:val="000000"/>
          <w:sz w:val="20"/>
        </w:rPr>
        <w:t xml:space="preserve"> </w:t>
      </w:r>
      <w:r>
        <w:rPr>
          <w:rFonts w:ascii="Times New Roman" w:hAnsi="Times New Roman" w:eastAsia="NanumMyeongjo" w:cs="Times New Roman"/>
          <w:b w:val="0"/>
          <w:i w:val="0"/>
          <w:color w:val="000000"/>
          <w:sz w:val="20"/>
        </w:rPr>
        <w:t>https://api.upstage.ai/v1/document-ai/document-parse.</w:t>
      </w:r>
    </w:p>
    <w:p>
      <w:pPr>
        <w:keepNext/>
        <w:spacing w:before="280" w:after="80"/>
      </w:pPr>
      <w:r>
        <w:rPr>
          <w:rFonts w:ascii="Times New Roman" w:hAnsi="Times New Roman" w:eastAsia="NanumMyeongjo" w:cs="Times New Roman"/>
          <w:b/>
          <w:i w:val="0"/>
          <w:color w:val="000000"/>
          <w:sz w:val="26"/>
        </w:rPr>
        <w:t>부록 A. 데이터셋별 입력 토큰 분포</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Dataset</w:t>
            </w:r>
          </w:p>
        </w:tc>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avg input tokens (image_only)</w:t>
            </w:r>
          </w:p>
        </w:tc>
        <w:tc>
          <w:tcPr>
            <w:tcW w:type="dxa" w:w="3024"/>
            <w:vAlign w:val="center"/>
            <w:shd w:val="clear" w:color="auto" w:fill="FFFFFF"/>
          </w:tcPr>
          <w:p>
            <w:pPr>
              <w:spacing w:after="0" w:before="0"/>
              <w:jc w:val="center"/>
            </w:pPr>
            <w:r>
              <w:rPr>
                <w:rFonts w:ascii="Times New Roman" w:hAnsi="Times New Roman" w:eastAsia="NanumMyeongjo" w:cs="Times New Roman"/>
                <w:b/>
                <w:i w:val="0"/>
                <w:color w:val="000000"/>
                <w:sz w:val="19"/>
              </w:rPr>
              <w:t>avg input tokens (parsed_visual)</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ChartQA</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약 300–950</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약 1,500–3,000</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InfoVQA</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약 1,700 (capped)</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약 2,500–4,000</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MP-DocVQA</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약 1,300–1,700</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약 2,000–3,500</w:t>
            </w:r>
          </w:p>
        </w:tc>
      </w:tr>
      <w:tr>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SlideVQA</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약 900–1,400</w:t>
            </w:r>
          </w:p>
        </w:tc>
        <w:tc>
          <w:tcPr>
            <w:tcW w:type="dxa" w:w="3024"/>
            <w:vAlign w:val="center"/>
            <w:shd w:val="clear" w:color="auto" w:fill="FFFFFF"/>
          </w:tcPr>
          <w:p>
            <w:pPr>
              <w:spacing w:after="0" w:before="0"/>
              <w:jc w:val="center"/>
            </w:pPr>
            <w:r>
              <w:rPr>
                <w:rFonts w:ascii="Times New Roman" w:hAnsi="Times New Roman" w:eastAsia="NanumMyeongjo" w:cs="Times New Roman"/>
                <w:b w:val="0"/>
                <w:i w:val="0"/>
                <w:color w:val="000000"/>
                <w:sz w:val="19"/>
              </w:rPr>
              <w:t>약 1,500–3,000</w:t>
            </w:r>
          </w:p>
        </w:tc>
      </w:tr>
    </w:tbl>
    <w:p>
      <w:pPr>
        <w:spacing w:after="200" w:before="40"/>
        <w:jc w:val="center"/>
      </w:pPr>
      <w:r>
        <w:rPr>
          <w:rFonts w:ascii="Times New Roman" w:hAnsi="Times New Roman" w:eastAsia="NanumMyeongjo" w:cs="Times New Roman"/>
          <w:b/>
          <w:i w:val="0"/>
          <w:color w:val="000000"/>
          <w:sz w:val="19"/>
        </w:rPr>
        <w:t xml:space="preserve">표 A1. </w:t>
      </w:r>
      <w:r>
        <w:rPr>
          <w:rFonts w:ascii="Times New Roman" w:hAnsi="Times New Roman" w:eastAsia="NanumMyeongjo" w:cs="Times New Roman"/>
          <w:b w:val="0"/>
          <w:i/>
          <w:color w:val="000000"/>
          <w:sz w:val="19"/>
        </w:rPr>
        <w:t>입력 토큰 수의 데이터셋·모드별 대략 분포.</w:t>
      </w:r>
    </w:p>
    <w:p>
      <w:pPr>
        <w:keepNext/>
        <w:spacing w:before="280" w:after="80"/>
      </w:pPr>
      <w:r>
        <w:rPr>
          <w:rFonts w:ascii="Times New Roman" w:hAnsi="Times New Roman" w:eastAsia="NanumMyeongjo" w:cs="Times New Roman"/>
          <w:b/>
          <w:i w:val="0"/>
          <w:color w:val="000000"/>
          <w:sz w:val="26"/>
        </w:rPr>
        <w:t>부록 B. 주요 코드 참조</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benchmark/parse_cache.py: ParsedDocument, load_parse_cache, append_parse_cache, evidence_text.</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benchmark/v12_on_visrag.py: build_prompt(75–96), build_qwen2vl_messages(206–217), call_qwen2vl(210–278), main(305–443).</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benchmark/ppt_table_exporter.py: render_markdown, render_csv, render_json.</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benchmark/metrics.py: relaxed_exact_match(16–44), accuracy(47–55), mrr_at_k(58–69), recall_at_k(72–81).</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scripts/run_today_ppt_pipeline.sh: Stage 1 Upstage parse, Stage 2 generation × 3 mode × 4 dataset, Stage 3 PPT exporter.</w:t>
      </w:r>
    </w:p>
    <w:p>
      <w:pPr>
        <w:spacing w:after="60" w:line="312" w:lineRule="auto"/>
        <w:ind w:left="482" w:hanging="255"/>
        <w:jc w:val="both"/>
      </w:pPr>
      <w:r>
        <w:rPr>
          <w:rFonts w:ascii="Times New Roman" w:hAnsi="Times New Roman" w:eastAsia="NanumMyeongjo" w:cs="Times New Roman"/>
          <w:b w:val="0"/>
          <w:i w:val="0"/>
          <w:color w:val="000000"/>
          <w:sz w:val="21"/>
        </w:rPr>
        <w:t>·</w:t>
        <w:tab/>
      </w:r>
      <w:r>
        <w:rPr>
          <w:rFonts w:ascii="Times New Roman" w:hAnsi="Times New Roman" w:eastAsia="NanumMyeongjo" w:cs="Times New Roman"/>
          <w:b w:val="0"/>
          <w:i w:val="0"/>
          <w:color w:val="000000"/>
          <w:sz w:val="21"/>
        </w:rPr>
        <w:t>configs/visrag_paper_benchmark.json: 데이터셋·generator·metric 메타데이터와 PPT 정렬 매핑.</w:t>
      </w:r>
    </w:p>
    <w:p>
      <w:pPr>
        <w:keepNext/>
        <w:spacing w:before="280" w:after="80"/>
      </w:pPr>
      <w:r>
        <w:rPr>
          <w:rFonts w:ascii="Times New Roman" w:hAnsi="Times New Roman" w:eastAsia="NanumMyeongjo" w:cs="Times New Roman"/>
          <w:b/>
          <w:i w:val="0"/>
          <w:color w:val="000000"/>
          <w:sz w:val="26"/>
        </w:rPr>
        <w:t>부록 C. 교량 점검 도메인 RAG 구성요소(범위 외)</w:t>
      </w:r>
    </w:p>
    <w:p>
      <w:pPr>
        <w:spacing w:after="80" w:before="0" w:line="324" w:lineRule="auto"/>
        <w:ind w:firstLine="482"/>
        <w:jc w:val="both"/>
      </w:pPr>
      <w:r>
        <w:rPr>
          <w:rFonts w:ascii="Times New Roman" w:hAnsi="Times New Roman" w:eastAsia="NanumMyeongjo" w:cs="Times New Roman"/>
          <w:b w:val="0"/>
          <w:i w:val="0"/>
          <w:color w:val="000000"/>
          <w:sz w:val="21"/>
        </w:rPr>
        <w:t>본 보고서가 다루는 PV-RAG는 백업 폴더 backup/v12_port/ 에 보관된 도메인 특화 RAG 선행 시스템—교량 점검 보고서에 특화된 질문 분류기, 챕터 추론, 손상 이력 보강 등의 구성요소—를 제거하고 “파싱 텍스트와 이미지를 동시에 VLM에 입력한다”는 일반 원리만을 남긴 변형이다. VisRAG 공개 벤치마크에는 교량 도메인 컴포넌트가 사용되지 않으며, 본 제출의 어떤 결과도 backup/v12_port 모듈에 의존하지 않는다. 도메인 특화 컴포넌트를 제거한 일반화 설계 근거는 backup/docs/domain_free_v12_experiment_design.md에, backup 폴더의 인덱스는 backup/README.md에 있다(코드·파일명은 선행 프로젝트의 내부 버전 표기 v12를 그대로 사용한다).</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NanumMyeongjo" w:cs="Times New Roman"/>
        <w:b w:val="0"/>
        <w:i w:val="0"/>
        <w:color w:val="000000"/>
        <w:sz w:val="18"/>
      </w:rPr>
      <w:fldChar w:fldCharType="begin"/>
      <w:instrText xml:space="preserve"> PAGE \* MERGEFORMAT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1" w:color="000000"/>
      </w:pBdr>
    </w:pPr>
    <w:r>
      <w:rPr>
        <w:rFonts w:ascii="Times New Roman" w:hAnsi="Times New Roman" w:eastAsia="NanumMyeongjo" w:cs="Times New Roman"/>
        <w:b w:val="0"/>
        <w:i/>
        <w:color w:val="000000"/>
        <w:sz w:val="18"/>
      </w:rPr>
      <w:t>Parsed-Visual RAG (PV-RAG) vs. VisRAG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anumMyeongjo" w:cs="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