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자료구조 중간고사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1. 수치자료의 표현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fixed point number : 2의보수표기, 초과코드표기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floating point number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2. 알고리즘 작성과 C함수 작성</w:t>
      </w: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3. 2차원 배열에서 특정 데이터의 주소 계산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62쪽과 같은 문제 작성하여 풀어보기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4. 스택의 활용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스택의 정의와 스택의 연산(push, pop)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5. 큐의 활용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큐의 정의와 연산(addq, deleteq)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원형큐의 정의와 연산(caddq, cdeleteq)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6. 구조체를 활용한 프로그램의 예(6주차 수업동영상 참고)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6-1 주어진 파일을 위한 구조체 타입 선언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6-2 함수 작성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전 채린</dc:creator>
  <cp:lastModifiedBy>전 채린</cp:lastModifiedBy>
  <cp:version>9.101.43.40686</cp:version>
</cp:coreProperties>
</file>