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0" w:type="auto"/>
        <w:tblLook w:val="04A0" w:firstRow="1" w:lastRow="0" w:firstColumn="1" w:lastColumn="0" w:noHBand="0" w:noVBand="1"/>
      </w:tblPr>
      <w:tblGrid>
        <w:gridCol w:w="5357"/>
        <w:gridCol w:w="5357"/>
      </w:tblGrid>
      <w:tr w:rsidR="00832E41" w:rsidTr="00400DA9">
        <w:trPr>
          <w:trHeight w:val="259"/>
        </w:trPr>
        <w:tc>
          <w:tcPr>
            <w:tcW w:w="5357" w:type="dxa"/>
          </w:tcPr>
          <w:p w:rsidR="00832E41" w:rsidRDefault="00832E41">
            <w:r>
              <w:t>Titre</w:t>
            </w:r>
          </w:p>
        </w:tc>
        <w:tc>
          <w:tcPr>
            <w:tcW w:w="5357" w:type="dxa"/>
          </w:tcPr>
          <w:p w:rsidR="00832E41" w:rsidRDefault="004F2517">
            <w:r>
              <w:t>A</w:t>
            </w:r>
            <w:r w:rsidRPr="004F2517">
              <w:t>ffectation des ramassages aux ramasseurs</w:t>
            </w:r>
          </w:p>
        </w:tc>
      </w:tr>
      <w:tr w:rsidR="00832E41" w:rsidTr="00400DA9">
        <w:trPr>
          <w:trHeight w:val="259"/>
        </w:trPr>
        <w:tc>
          <w:tcPr>
            <w:tcW w:w="5357" w:type="dxa"/>
          </w:tcPr>
          <w:p w:rsidR="00832E41" w:rsidRDefault="00832E41">
            <w:r>
              <w:t>Référence</w:t>
            </w:r>
          </w:p>
        </w:tc>
        <w:tc>
          <w:tcPr>
            <w:tcW w:w="5357" w:type="dxa"/>
          </w:tcPr>
          <w:p w:rsidR="00832E41" w:rsidRDefault="00533E02">
            <w:r>
              <w:t>PR.RA.02</w:t>
            </w:r>
          </w:p>
        </w:tc>
      </w:tr>
      <w:tr w:rsidR="00832E41" w:rsidTr="00400DA9">
        <w:trPr>
          <w:trHeight w:val="270"/>
        </w:trPr>
        <w:tc>
          <w:tcPr>
            <w:tcW w:w="5357" w:type="dxa"/>
          </w:tcPr>
          <w:p w:rsidR="00832E41" w:rsidRDefault="00832E41">
            <w:r>
              <w:t>Version</w:t>
            </w:r>
          </w:p>
        </w:tc>
        <w:tc>
          <w:tcPr>
            <w:tcW w:w="5357" w:type="dxa"/>
          </w:tcPr>
          <w:p w:rsidR="00832E41" w:rsidRDefault="00596034">
            <w:r>
              <w:t>01</w:t>
            </w:r>
          </w:p>
        </w:tc>
      </w:tr>
      <w:tr w:rsidR="00832E41" w:rsidTr="00400DA9">
        <w:trPr>
          <w:trHeight w:val="259"/>
        </w:trPr>
        <w:tc>
          <w:tcPr>
            <w:tcW w:w="5357" w:type="dxa"/>
          </w:tcPr>
          <w:p w:rsidR="00832E41" w:rsidRDefault="00832E41">
            <w:r>
              <w:t>Date de création</w:t>
            </w:r>
          </w:p>
        </w:tc>
        <w:tc>
          <w:tcPr>
            <w:tcW w:w="5357" w:type="dxa"/>
          </w:tcPr>
          <w:p w:rsidR="00832E41" w:rsidRDefault="00832E41"/>
        </w:tc>
      </w:tr>
      <w:tr w:rsidR="00832E41" w:rsidTr="00400DA9">
        <w:trPr>
          <w:trHeight w:val="259"/>
        </w:trPr>
        <w:tc>
          <w:tcPr>
            <w:tcW w:w="5357" w:type="dxa"/>
          </w:tcPr>
          <w:p w:rsidR="00832E41" w:rsidRDefault="00832E41">
            <w:r>
              <w:t>Date de modification</w:t>
            </w:r>
          </w:p>
        </w:tc>
        <w:tc>
          <w:tcPr>
            <w:tcW w:w="5357" w:type="dxa"/>
          </w:tcPr>
          <w:p w:rsidR="00832E41" w:rsidRDefault="00832E41"/>
        </w:tc>
      </w:tr>
      <w:tr w:rsidR="00832E41" w:rsidTr="00400DA9">
        <w:trPr>
          <w:trHeight w:val="259"/>
        </w:trPr>
        <w:tc>
          <w:tcPr>
            <w:tcW w:w="5357" w:type="dxa"/>
          </w:tcPr>
          <w:p w:rsidR="00832E41" w:rsidRDefault="00832E41">
            <w:r>
              <w:t>Service d’application</w:t>
            </w:r>
          </w:p>
        </w:tc>
        <w:tc>
          <w:tcPr>
            <w:tcW w:w="5357" w:type="dxa"/>
          </w:tcPr>
          <w:p w:rsidR="00832E41" w:rsidRDefault="00596034">
            <w:r>
              <w:t>Service ramassage et service qualité</w:t>
            </w:r>
          </w:p>
        </w:tc>
      </w:tr>
      <w:tr w:rsidR="00832E41" w:rsidTr="00400DA9">
        <w:trPr>
          <w:trHeight w:val="259"/>
        </w:trPr>
        <w:tc>
          <w:tcPr>
            <w:tcW w:w="5357" w:type="dxa"/>
          </w:tcPr>
          <w:p w:rsidR="00832E41" w:rsidRDefault="00832E41">
            <w:r>
              <w:t>Responsable</w:t>
            </w:r>
          </w:p>
        </w:tc>
        <w:tc>
          <w:tcPr>
            <w:tcW w:w="5357" w:type="dxa"/>
          </w:tcPr>
          <w:p w:rsidR="00832E41" w:rsidRDefault="00596034">
            <w:r>
              <w:t>Coach qualité / Chef magasinier / Magasinier</w:t>
            </w:r>
          </w:p>
        </w:tc>
      </w:tr>
    </w:tbl>
    <w:p w:rsidR="001D0742" w:rsidRDefault="001D0742"/>
    <w:p w:rsidR="000A6059" w:rsidRDefault="000A6059"/>
    <w:p w:rsidR="0083539C" w:rsidRPr="0083539C" w:rsidRDefault="0083539C" w:rsidP="0083539C">
      <w:pPr>
        <w:rPr>
          <w:b/>
          <w:sz w:val="24"/>
        </w:rPr>
      </w:pPr>
      <w:r w:rsidRPr="0083539C">
        <w:rPr>
          <w:b/>
          <w:sz w:val="24"/>
        </w:rPr>
        <w:t>1. Objet</w:t>
      </w:r>
    </w:p>
    <w:p w:rsidR="0083539C" w:rsidRDefault="0083539C" w:rsidP="0083539C">
      <w:r>
        <w:t>La présente procédure a pour objet de définir les étapes d’accès, de contrôle et d’affectation des ramassages aux ramasseurs, afin d’assurer une répartition optimale selon les zones de couverture et une bonne organisation des opérations de collecte.</w:t>
      </w:r>
    </w:p>
    <w:p w:rsidR="0083539C" w:rsidRPr="0083539C" w:rsidRDefault="0083539C" w:rsidP="0083539C">
      <w:pPr>
        <w:rPr>
          <w:b/>
          <w:sz w:val="24"/>
        </w:rPr>
      </w:pPr>
      <w:r w:rsidRPr="0083539C">
        <w:rPr>
          <w:b/>
          <w:sz w:val="24"/>
        </w:rPr>
        <w:t>2. Champ d’application</w:t>
      </w:r>
    </w:p>
    <w:p w:rsidR="0083539C" w:rsidRDefault="0083539C" w:rsidP="0083539C">
      <w:r>
        <w:t>Cette procédure s’applique à l’ensemble des opérations d’affectation des ramassages au niveau de l’entrepôt et concerne :</w:t>
      </w:r>
    </w:p>
    <w:p w:rsidR="0083539C" w:rsidRDefault="0083539C" w:rsidP="0083539C">
      <w:r>
        <w:t>Le Chef magasinier</w:t>
      </w:r>
    </w:p>
    <w:p w:rsidR="0083539C" w:rsidRDefault="0083539C" w:rsidP="0083539C">
      <w:r>
        <w:t>Le Magasinier</w:t>
      </w:r>
    </w:p>
    <w:p w:rsidR="00BF5BA9" w:rsidRDefault="00BF5BA9" w:rsidP="0083539C">
      <w:r>
        <w:t xml:space="preserve">Service Qualité </w:t>
      </w:r>
      <w:r>
        <w:t>(en cas de non-conformité)</w:t>
      </w:r>
    </w:p>
    <w:p w:rsidR="0083539C" w:rsidRPr="0083539C" w:rsidRDefault="0083539C" w:rsidP="0083539C">
      <w:pPr>
        <w:rPr>
          <w:b/>
          <w:sz w:val="24"/>
        </w:rPr>
      </w:pPr>
      <w:r w:rsidRPr="0083539C">
        <w:rPr>
          <w:b/>
          <w:sz w:val="24"/>
        </w:rPr>
        <w:t>3. Responsabilités</w:t>
      </w:r>
    </w:p>
    <w:p w:rsidR="0083539C" w:rsidRDefault="0083539C" w:rsidP="0083539C">
      <w:r>
        <w:t>Chef magasinier / Magasinier :</w:t>
      </w:r>
    </w:p>
    <w:p w:rsidR="0083539C" w:rsidRDefault="0083539C" w:rsidP="0083539C">
      <w:r>
        <w:t>Accéder au système et aux listes de ramassage</w:t>
      </w:r>
      <w:r w:rsidR="00E91883">
        <w:t>.</w:t>
      </w:r>
    </w:p>
    <w:p w:rsidR="0083539C" w:rsidRDefault="0083539C" w:rsidP="0083539C">
      <w:r>
        <w:t>Vérifier les ramassages attribués</w:t>
      </w:r>
      <w:r w:rsidR="00E91883">
        <w:t>.</w:t>
      </w:r>
    </w:p>
    <w:p w:rsidR="0083539C" w:rsidRDefault="0083539C" w:rsidP="0083539C">
      <w:r>
        <w:t>Affecter chaque ramassage au ramasseur concerné selon sa zone de couverture</w:t>
      </w:r>
      <w:r w:rsidR="00E91883">
        <w:t>.</w:t>
      </w:r>
    </w:p>
    <w:p w:rsidR="00BF5BA9" w:rsidRDefault="00BF5BA9" w:rsidP="0083539C">
      <w:r>
        <w:t>Service Qualité :</w:t>
      </w:r>
    </w:p>
    <w:p w:rsidR="00BF5BA9" w:rsidRDefault="00BF5BA9" w:rsidP="0083539C">
      <w:r>
        <w:t>Analyser et traiter les non-conformités signalées</w:t>
      </w:r>
      <w:r w:rsidR="00E91883">
        <w:t>.</w:t>
      </w:r>
    </w:p>
    <w:p w:rsidR="0083539C" w:rsidRPr="0083539C" w:rsidRDefault="0083539C" w:rsidP="0083539C">
      <w:pPr>
        <w:rPr>
          <w:b/>
          <w:sz w:val="24"/>
        </w:rPr>
      </w:pPr>
      <w:r w:rsidRPr="0083539C">
        <w:rPr>
          <w:b/>
          <w:sz w:val="24"/>
        </w:rPr>
        <w:t>4. Description de la procédure</w:t>
      </w:r>
    </w:p>
    <w:p w:rsidR="0083539C" w:rsidRPr="0083539C" w:rsidRDefault="0083539C" w:rsidP="0083539C">
      <w:pPr>
        <w:rPr>
          <w:b/>
          <w:color w:val="0070C0"/>
        </w:rPr>
      </w:pPr>
      <w:r w:rsidRPr="0083539C">
        <w:rPr>
          <w:b/>
          <w:color w:val="0070C0"/>
        </w:rPr>
        <w:t>4.1 Connexion au système</w:t>
      </w:r>
    </w:p>
    <w:p w:rsidR="0083539C" w:rsidRDefault="0083539C" w:rsidP="0083539C">
      <w:r>
        <w:t xml:space="preserve">Le chef magasinier ou le magasinier doit se connecter à l’interface du système en utilisant ses identifiants de connexion personnels (compte </w:t>
      </w:r>
      <w:proofErr w:type="spellStart"/>
      <w:r>
        <w:t>Sendit</w:t>
      </w:r>
      <w:proofErr w:type="spellEnd"/>
      <w:r>
        <w:t xml:space="preserve"> personnel).</w:t>
      </w:r>
    </w:p>
    <w:p w:rsidR="0083539C" w:rsidRPr="0083539C" w:rsidRDefault="0083539C" w:rsidP="0083539C">
      <w:pPr>
        <w:rPr>
          <w:b/>
          <w:color w:val="0070C0"/>
        </w:rPr>
      </w:pPr>
      <w:r w:rsidRPr="0083539C">
        <w:rPr>
          <w:b/>
          <w:color w:val="0070C0"/>
        </w:rPr>
        <w:t>4.2 Accès à la liste des ramassages</w:t>
      </w:r>
    </w:p>
    <w:p w:rsidR="0083539C" w:rsidRDefault="0083539C" w:rsidP="0083539C">
      <w:r>
        <w:t>Après connexion, le chef magasinier ou le magasinier doit :</w:t>
      </w:r>
    </w:p>
    <w:p w:rsidR="0083539C" w:rsidRDefault="0083539C" w:rsidP="0083539C">
      <w:r>
        <w:t>Accéder au menu principal de l’interface</w:t>
      </w:r>
      <w:r w:rsidR="00E91883">
        <w:t>.</w:t>
      </w:r>
    </w:p>
    <w:p w:rsidR="0083539C" w:rsidRDefault="0083539C" w:rsidP="0083539C">
      <w:r>
        <w:t>Sélectionner l’option « Liste des ramassages »</w:t>
      </w:r>
      <w:r w:rsidR="00E91883">
        <w:t>.</w:t>
      </w:r>
    </w:p>
    <w:p w:rsidR="0083539C" w:rsidRDefault="0083539C" w:rsidP="0083539C">
      <w:r>
        <w:lastRenderedPageBreak/>
        <w:t>Cliquer sur « En cours par livreur »</w:t>
      </w:r>
      <w:r w:rsidR="00E91883">
        <w:t>.</w:t>
      </w:r>
    </w:p>
    <w:p w:rsidR="0083539C" w:rsidRDefault="0083539C" w:rsidP="0083539C">
      <w:r>
        <w:t>Choisir le ramasseur concerné</w:t>
      </w:r>
      <w:r w:rsidR="00E91883">
        <w:t>.</w:t>
      </w:r>
    </w:p>
    <w:p w:rsidR="000A6059" w:rsidRDefault="000A6059" w:rsidP="0083539C"/>
    <w:p w:rsidR="0083539C" w:rsidRPr="0083539C" w:rsidRDefault="0083539C" w:rsidP="0083539C">
      <w:pPr>
        <w:rPr>
          <w:b/>
          <w:color w:val="0070C0"/>
        </w:rPr>
      </w:pPr>
      <w:r w:rsidRPr="0083539C">
        <w:rPr>
          <w:b/>
          <w:color w:val="0070C0"/>
        </w:rPr>
        <w:t>4.3 Affectation des ramassages aux ramasseurs</w:t>
      </w:r>
    </w:p>
    <w:p w:rsidR="0083539C" w:rsidRDefault="0083539C" w:rsidP="0083539C">
      <w:r>
        <w:t>Le chef magasinier ou le magasinier doit :</w:t>
      </w:r>
    </w:p>
    <w:p w:rsidR="0083539C" w:rsidRDefault="0083539C" w:rsidP="0083539C">
      <w:r>
        <w:t>Accéder à l’ensemble des ramassages attribués à chaque livreur</w:t>
      </w:r>
      <w:r w:rsidR="00E91883">
        <w:t>.</w:t>
      </w:r>
    </w:p>
    <w:p w:rsidR="0083539C" w:rsidRDefault="0083539C" w:rsidP="0083539C">
      <w:r>
        <w:t>Vérifier les informations de chaque ramassage</w:t>
      </w:r>
      <w:r w:rsidR="00E91883">
        <w:t>.</w:t>
      </w:r>
    </w:p>
    <w:p w:rsidR="007620D9" w:rsidRDefault="0083539C" w:rsidP="0083539C">
      <w:r>
        <w:t>Affecter chaque ramassage au ramasseur approprié selon sa zone de couverture</w:t>
      </w:r>
      <w:r w:rsidR="00E91883">
        <w:t>.</w:t>
      </w:r>
      <w:bookmarkStart w:id="0" w:name="_GoBack"/>
      <w:bookmarkEnd w:id="0"/>
    </w:p>
    <w:p w:rsidR="007620D9" w:rsidRDefault="007620D9" w:rsidP="00B2345A"/>
    <w:tbl>
      <w:tblPr>
        <w:tblStyle w:val="Grilledutableau"/>
        <w:tblW w:w="10910" w:type="dxa"/>
        <w:tblLook w:val="04A0" w:firstRow="1" w:lastRow="0" w:firstColumn="1" w:lastColumn="0" w:noHBand="0" w:noVBand="1"/>
      </w:tblPr>
      <w:tblGrid>
        <w:gridCol w:w="2152"/>
        <w:gridCol w:w="2152"/>
        <w:gridCol w:w="2152"/>
        <w:gridCol w:w="2470"/>
        <w:gridCol w:w="1984"/>
      </w:tblGrid>
      <w:tr w:rsidR="007620D9" w:rsidTr="006C057D">
        <w:tc>
          <w:tcPr>
            <w:tcW w:w="2152" w:type="dxa"/>
            <w:shd w:val="clear" w:color="auto" w:fill="D0CECE" w:themeFill="background2" w:themeFillShade="E6"/>
          </w:tcPr>
          <w:p w:rsidR="007620D9" w:rsidRDefault="007620D9" w:rsidP="00B2345A"/>
        </w:tc>
        <w:tc>
          <w:tcPr>
            <w:tcW w:w="2152" w:type="dxa"/>
            <w:shd w:val="clear" w:color="auto" w:fill="D0CECE" w:themeFill="background2" w:themeFillShade="E6"/>
          </w:tcPr>
          <w:p w:rsidR="007620D9" w:rsidRDefault="007620D9" w:rsidP="00B2345A">
            <w:r>
              <w:t xml:space="preserve">        Réalisé par</w:t>
            </w:r>
            <w:r w:rsidR="005B5935">
              <w:t> :</w:t>
            </w:r>
          </w:p>
        </w:tc>
        <w:tc>
          <w:tcPr>
            <w:tcW w:w="2152" w:type="dxa"/>
            <w:shd w:val="clear" w:color="auto" w:fill="D0CECE" w:themeFill="background2" w:themeFillShade="E6"/>
          </w:tcPr>
          <w:p w:rsidR="007620D9" w:rsidRDefault="007620D9" w:rsidP="00B2345A">
            <w:r>
              <w:t xml:space="preserve">       Vérifiée par :</w:t>
            </w:r>
          </w:p>
        </w:tc>
        <w:tc>
          <w:tcPr>
            <w:tcW w:w="2470" w:type="dxa"/>
            <w:shd w:val="clear" w:color="auto" w:fill="D0CECE" w:themeFill="background2" w:themeFillShade="E6"/>
          </w:tcPr>
          <w:p w:rsidR="007620D9" w:rsidRDefault="007620D9" w:rsidP="00B2345A">
            <w:r>
              <w:t xml:space="preserve">         Validé par :</w:t>
            </w:r>
          </w:p>
        </w:tc>
        <w:tc>
          <w:tcPr>
            <w:tcW w:w="1984" w:type="dxa"/>
            <w:shd w:val="clear" w:color="auto" w:fill="D0CECE" w:themeFill="background2" w:themeFillShade="E6"/>
          </w:tcPr>
          <w:p w:rsidR="007620D9" w:rsidRDefault="007620D9" w:rsidP="00B2345A">
            <w:r>
              <w:t xml:space="preserve">    Approuvée par :</w:t>
            </w:r>
          </w:p>
        </w:tc>
      </w:tr>
      <w:tr w:rsidR="007620D9" w:rsidTr="006C057D">
        <w:tc>
          <w:tcPr>
            <w:tcW w:w="2152" w:type="dxa"/>
            <w:shd w:val="clear" w:color="auto" w:fill="D0CECE" w:themeFill="background2" w:themeFillShade="E6"/>
          </w:tcPr>
          <w:p w:rsidR="007620D9" w:rsidRDefault="007620D9" w:rsidP="00B2345A">
            <w:r>
              <w:t xml:space="preserve">      Nom et prénom</w:t>
            </w:r>
            <w:r w:rsidR="005B5935">
              <w:t> :</w:t>
            </w:r>
          </w:p>
        </w:tc>
        <w:tc>
          <w:tcPr>
            <w:tcW w:w="2152" w:type="dxa"/>
          </w:tcPr>
          <w:p w:rsidR="007620D9" w:rsidRDefault="007620D9" w:rsidP="00B2345A">
            <w:r>
              <w:t xml:space="preserve">  </w:t>
            </w:r>
            <w:proofErr w:type="spellStart"/>
            <w:r>
              <w:t>Benlfatmi</w:t>
            </w:r>
            <w:proofErr w:type="spellEnd"/>
            <w:r>
              <w:t xml:space="preserve"> </w:t>
            </w:r>
            <w:proofErr w:type="spellStart"/>
            <w:r>
              <w:t>soufiane</w:t>
            </w:r>
            <w:proofErr w:type="spellEnd"/>
          </w:p>
        </w:tc>
        <w:tc>
          <w:tcPr>
            <w:tcW w:w="2152" w:type="dxa"/>
          </w:tcPr>
          <w:p w:rsidR="007620D9" w:rsidRDefault="007620D9" w:rsidP="00B2345A">
            <w:r>
              <w:t xml:space="preserve">     Sabir </w:t>
            </w:r>
            <w:proofErr w:type="spellStart"/>
            <w:r>
              <w:t>soufiane</w:t>
            </w:r>
            <w:proofErr w:type="spellEnd"/>
          </w:p>
        </w:tc>
        <w:tc>
          <w:tcPr>
            <w:tcW w:w="2470" w:type="dxa"/>
          </w:tcPr>
          <w:p w:rsidR="007620D9" w:rsidRDefault="007620D9" w:rsidP="00B2345A">
            <w:r>
              <w:t xml:space="preserve">        </w:t>
            </w:r>
            <w:proofErr w:type="spellStart"/>
            <w:r>
              <w:t>Kounka</w:t>
            </w:r>
            <w:proofErr w:type="spellEnd"/>
            <w:r>
              <w:t xml:space="preserve"> </w:t>
            </w:r>
            <w:proofErr w:type="spellStart"/>
            <w:r>
              <w:t>yassine</w:t>
            </w:r>
            <w:proofErr w:type="spellEnd"/>
          </w:p>
        </w:tc>
        <w:tc>
          <w:tcPr>
            <w:tcW w:w="1984" w:type="dxa"/>
          </w:tcPr>
          <w:p w:rsidR="007620D9" w:rsidRDefault="007620D9" w:rsidP="00B2345A">
            <w:r>
              <w:t xml:space="preserve">        </w:t>
            </w:r>
            <w:proofErr w:type="spellStart"/>
            <w:r>
              <w:t>Jalil</w:t>
            </w:r>
            <w:proofErr w:type="spellEnd"/>
            <w:r>
              <w:t xml:space="preserve"> </w:t>
            </w:r>
            <w:proofErr w:type="spellStart"/>
            <w:r>
              <w:t>fadwa</w:t>
            </w:r>
            <w:proofErr w:type="spellEnd"/>
          </w:p>
        </w:tc>
      </w:tr>
      <w:tr w:rsidR="007620D9" w:rsidTr="006C057D">
        <w:tc>
          <w:tcPr>
            <w:tcW w:w="2152" w:type="dxa"/>
            <w:shd w:val="clear" w:color="auto" w:fill="D0CECE" w:themeFill="background2" w:themeFillShade="E6"/>
          </w:tcPr>
          <w:p w:rsidR="007620D9" w:rsidRDefault="007620D9" w:rsidP="00B2345A">
            <w:r>
              <w:t xml:space="preserve">           Fonction</w:t>
            </w:r>
            <w:r w:rsidR="005B5935">
              <w:t> :</w:t>
            </w:r>
          </w:p>
        </w:tc>
        <w:tc>
          <w:tcPr>
            <w:tcW w:w="2152" w:type="dxa"/>
          </w:tcPr>
          <w:p w:rsidR="007620D9" w:rsidRDefault="007620D9" w:rsidP="00B2345A">
            <w:r>
              <w:t xml:space="preserve">    Animateur QHSE</w:t>
            </w:r>
          </w:p>
        </w:tc>
        <w:tc>
          <w:tcPr>
            <w:tcW w:w="2152" w:type="dxa"/>
          </w:tcPr>
          <w:p w:rsidR="007620D9" w:rsidRDefault="007620D9" w:rsidP="00B2345A">
            <w:r>
              <w:t xml:space="preserve">      Coach Qualité</w:t>
            </w:r>
          </w:p>
        </w:tc>
        <w:tc>
          <w:tcPr>
            <w:tcW w:w="2470" w:type="dxa"/>
          </w:tcPr>
          <w:p w:rsidR="007620D9" w:rsidRDefault="007620D9" w:rsidP="00B2345A">
            <w:r>
              <w:t xml:space="preserve">Responsable </w:t>
            </w:r>
            <w:proofErr w:type="spellStart"/>
            <w:r>
              <w:t>Warehouse</w:t>
            </w:r>
            <w:proofErr w:type="spellEnd"/>
          </w:p>
        </w:tc>
        <w:tc>
          <w:tcPr>
            <w:tcW w:w="1984" w:type="dxa"/>
          </w:tcPr>
          <w:p w:rsidR="007620D9" w:rsidRDefault="007620D9" w:rsidP="00B2345A">
            <w:proofErr w:type="spellStart"/>
            <w:r>
              <w:t>Resposable</w:t>
            </w:r>
            <w:proofErr w:type="spellEnd"/>
            <w:r>
              <w:t xml:space="preserve"> </w:t>
            </w:r>
            <w:proofErr w:type="spellStart"/>
            <w:r>
              <w:t>Qualié</w:t>
            </w:r>
            <w:proofErr w:type="spellEnd"/>
          </w:p>
        </w:tc>
      </w:tr>
      <w:tr w:rsidR="007620D9" w:rsidTr="006C057D">
        <w:tc>
          <w:tcPr>
            <w:tcW w:w="2152" w:type="dxa"/>
            <w:shd w:val="clear" w:color="auto" w:fill="D0CECE" w:themeFill="background2" w:themeFillShade="E6"/>
          </w:tcPr>
          <w:p w:rsidR="007620D9" w:rsidRDefault="007620D9" w:rsidP="00B2345A">
            <w:r>
              <w:t xml:space="preserve">              Date</w:t>
            </w:r>
            <w:r w:rsidR="005B5935">
              <w:t> :</w:t>
            </w:r>
          </w:p>
        </w:tc>
        <w:tc>
          <w:tcPr>
            <w:tcW w:w="2152" w:type="dxa"/>
          </w:tcPr>
          <w:p w:rsidR="007620D9" w:rsidRDefault="007620D9" w:rsidP="00B2345A"/>
        </w:tc>
        <w:tc>
          <w:tcPr>
            <w:tcW w:w="2152" w:type="dxa"/>
          </w:tcPr>
          <w:p w:rsidR="007620D9" w:rsidRDefault="007620D9" w:rsidP="00B2345A"/>
        </w:tc>
        <w:tc>
          <w:tcPr>
            <w:tcW w:w="2470" w:type="dxa"/>
          </w:tcPr>
          <w:p w:rsidR="007620D9" w:rsidRDefault="007620D9" w:rsidP="00B2345A"/>
        </w:tc>
        <w:tc>
          <w:tcPr>
            <w:tcW w:w="1984" w:type="dxa"/>
          </w:tcPr>
          <w:p w:rsidR="007620D9" w:rsidRDefault="007620D9" w:rsidP="00B2345A"/>
        </w:tc>
      </w:tr>
      <w:tr w:rsidR="007620D9" w:rsidTr="006C057D">
        <w:trPr>
          <w:trHeight w:val="339"/>
        </w:trPr>
        <w:tc>
          <w:tcPr>
            <w:tcW w:w="2152" w:type="dxa"/>
            <w:shd w:val="clear" w:color="auto" w:fill="D0CECE" w:themeFill="background2" w:themeFillShade="E6"/>
          </w:tcPr>
          <w:p w:rsidR="007620D9" w:rsidRDefault="007620D9" w:rsidP="00B2345A">
            <w:r>
              <w:t xml:space="preserve">               Visa</w:t>
            </w:r>
            <w:r w:rsidR="005B5935">
              <w:t> :</w:t>
            </w:r>
          </w:p>
        </w:tc>
        <w:tc>
          <w:tcPr>
            <w:tcW w:w="2152" w:type="dxa"/>
          </w:tcPr>
          <w:p w:rsidR="007620D9" w:rsidRDefault="007620D9" w:rsidP="00B2345A"/>
        </w:tc>
        <w:tc>
          <w:tcPr>
            <w:tcW w:w="2152" w:type="dxa"/>
          </w:tcPr>
          <w:p w:rsidR="007620D9" w:rsidRDefault="007620D9" w:rsidP="00B2345A"/>
        </w:tc>
        <w:tc>
          <w:tcPr>
            <w:tcW w:w="2470" w:type="dxa"/>
          </w:tcPr>
          <w:p w:rsidR="007620D9" w:rsidRDefault="007620D9" w:rsidP="00B2345A"/>
        </w:tc>
        <w:tc>
          <w:tcPr>
            <w:tcW w:w="1984" w:type="dxa"/>
          </w:tcPr>
          <w:p w:rsidR="007620D9" w:rsidRDefault="007620D9" w:rsidP="00B2345A"/>
        </w:tc>
      </w:tr>
    </w:tbl>
    <w:p w:rsidR="007620D9" w:rsidRDefault="007620D9" w:rsidP="00B2345A"/>
    <w:sectPr w:rsidR="007620D9" w:rsidSect="00B2345A">
      <w:headerReference w:type="default" r:id="rId7"/>
      <w:footerReference w:type="default" r:id="rId8"/>
      <w:pgSz w:w="11906" w:h="16838"/>
      <w:pgMar w:top="1418" w:right="567" w:bottom="1418"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22A8" w:rsidRDefault="005B22A8" w:rsidP="00832E41">
      <w:pPr>
        <w:spacing w:after="0" w:line="240" w:lineRule="auto"/>
      </w:pPr>
      <w:r>
        <w:separator/>
      </w:r>
    </w:p>
  </w:endnote>
  <w:endnote w:type="continuationSeparator" w:id="0">
    <w:p w:rsidR="005B22A8" w:rsidRDefault="005B22A8" w:rsidP="00832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60C" w:rsidRDefault="002B660C">
    <w:pPr>
      <w:pStyle w:val="Pieddepage"/>
    </w:pPr>
    <w:r>
      <w:rPr>
        <w:noProof/>
        <w:color w:val="5B9BD5" w:themeColor="accent1"/>
        <w:lang w:eastAsia="fr-FR"/>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3575AE0"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rPr>
      <w:t xml:space="preserve"> </w:t>
    </w:r>
    <w:r>
      <w:rPr>
        <w:rFonts w:asciiTheme="majorHAnsi" w:eastAsiaTheme="majorEastAsia" w:hAnsiTheme="majorHAnsi" w:cstheme="majorBidi"/>
        <w:color w:val="5B9BD5" w:themeColor="accent1"/>
        <w:sz w:val="20"/>
        <w:szCs w:val="20"/>
      </w:rPr>
      <w:t xml:space="preserve">p. </w:t>
    </w:r>
    <w:r>
      <w:rPr>
        <w:rFonts w:eastAsiaTheme="minorEastAsia"/>
        <w:color w:val="5B9BD5" w:themeColor="accent1"/>
        <w:sz w:val="20"/>
        <w:szCs w:val="20"/>
      </w:rPr>
      <w:fldChar w:fldCharType="begin"/>
    </w:r>
    <w:r>
      <w:rPr>
        <w:color w:val="5B9BD5" w:themeColor="accent1"/>
        <w:sz w:val="20"/>
        <w:szCs w:val="20"/>
      </w:rPr>
      <w:instrText>PAGE    \* MERGEFORMAT</w:instrText>
    </w:r>
    <w:r>
      <w:rPr>
        <w:rFonts w:eastAsiaTheme="minorEastAsia"/>
        <w:color w:val="5B9BD5" w:themeColor="accent1"/>
        <w:sz w:val="20"/>
        <w:szCs w:val="20"/>
      </w:rPr>
      <w:fldChar w:fldCharType="separate"/>
    </w:r>
    <w:r w:rsidR="00E91883" w:rsidRPr="00E91883">
      <w:rPr>
        <w:rFonts w:asciiTheme="majorHAnsi" w:eastAsiaTheme="majorEastAsia" w:hAnsiTheme="majorHAnsi" w:cstheme="majorBidi"/>
        <w:noProof/>
        <w:color w:val="5B9BD5" w:themeColor="accent1"/>
        <w:sz w:val="20"/>
        <w:szCs w:val="20"/>
      </w:rPr>
      <w:t>2</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22A8" w:rsidRDefault="005B22A8" w:rsidP="00832E41">
      <w:pPr>
        <w:spacing w:after="0" w:line="240" w:lineRule="auto"/>
      </w:pPr>
      <w:r>
        <w:separator/>
      </w:r>
    </w:p>
  </w:footnote>
  <w:footnote w:type="continuationSeparator" w:id="0">
    <w:p w:rsidR="005B22A8" w:rsidRDefault="005B22A8" w:rsidP="00832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2E41" w:rsidRDefault="00832E41">
    <w:pPr>
      <w:pStyle w:val="En-tte"/>
    </w:pPr>
    <w:r w:rsidRPr="00832E41">
      <w:rPr>
        <w:noProof/>
        <w:lang w:eastAsia="fr-FR"/>
      </w:rPr>
      <w:drawing>
        <wp:inline distT="0" distB="0" distL="0" distR="0" wp14:anchorId="1158B3BF" wp14:editId="4D591252">
          <wp:extent cx="1031875" cy="586579"/>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67113" cy="606610"/>
                  </a:xfrm>
                  <a:prstGeom prst="rect">
                    <a:avLst/>
                  </a:prstGeom>
                </pic:spPr>
              </pic:pic>
            </a:graphicData>
          </a:graphic>
        </wp:inline>
      </w:drawing>
    </w:r>
  </w:p>
  <w:p w:rsidR="00832E41" w:rsidRDefault="00832E41">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85B97"/>
    <w:multiLevelType w:val="hybridMultilevel"/>
    <w:tmpl w:val="001EF3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E41"/>
    <w:rsid w:val="000A6059"/>
    <w:rsid w:val="001157CA"/>
    <w:rsid w:val="001D0742"/>
    <w:rsid w:val="001D5710"/>
    <w:rsid w:val="002531A4"/>
    <w:rsid w:val="002B660C"/>
    <w:rsid w:val="003326AC"/>
    <w:rsid w:val="00347FAD"/>
    <w:rsid w:val="00400DA9"/>
    <w:rsid w:val="004F2517"/>
    <w:rsid w:val="00533E02"/>
    <w:rsid w:val="00596034"/>
    <w:rsid w:val="005B22A8"/>
    <w:rsid w:val="005B5935"/>
    <w:rsid w:val="00643A1A"/>
    <w:rsid w:val="006C057D"/>
    <w:rsid w:val="007620D9"/>
    <w:rsid w:val="00832E41"/>
    <w:rsid w:val="0083539C"/>
    <w:rsid w:val="00B2345A"/>
    <w:rsid w:val="00BF5BA9"/>
    <w:rsid w:val="00C91F4B"/>
    <w:rsid w:val="00E512BE"/>
    <w:rsid w:val="00E918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5EA6C"/>
  <w15:chartTrackingRefBased/>
  <w15:docId w15:val="{02F6C79E-1286-4578-8FB0-DE5E7F48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32E41"/>
    <w:pPr>
      <w:tabs>
        <w:tab w:val="center" w:pos="4536"/>
        <w:tab w:val="right" w:pos="9072"/>
      </w:tabs>
      <w:spacing w:after="0" w:line="240" w:lineRule="auto"/>
    </w:pPr>
  </w:style>
  <w:style w:type="character" w:customStyle="1" w:styleId="En-tteCar">
    <w:name w:val="En-tête Car"/>
    <w:basedOn w:val="Policepardfaut"/>
    <w:link w:val="En-tte"/>
    <w:uiPriority w:val="99"/>
    <w:rsid w:val="00832E41"/>
  </w:style>
  <w:style w:type="paragraph" w:styleId="Pieddepage">
    <w:name w:val="footer"/>
    <w:basedOn w:val="Normal"/>
    <w:link w:val="PieddepageCar"/>
    <w:uiPriority w:val="99"/>
    <w:unhideWhenUsed/>
    <w:rsid w:val="00832E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2E41"/>
  </w:style>
  <w:style w:type="table" w:styleId="Grilledutableau">
    <w:name w:val="Table Grid"/>
    <w:basedOn w:val="TableauNormal"/>
    <w:uiPriority w:val="39"/>
    <w:rsid w:val="00832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234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323</Words>
  <Characters>1780</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25</cp:revision>
  <dcterms:created xsi:type="dcterms:W3CDTF">2026-02-10T11:03:00Z</dcterms:created>
  <dcterms:modified xsi:type="dcterms:W3CDTF">2026-02-18T11:26:00Z</dcterms:modified>
</cp:coreProperties>
</file>