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-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6180"/>
        <w:gridCol w:w="2385"/>
        <w:tblGridChange w:id="0">
          <w:tblGrid>
            <w:gridCol w:w="930"/>
            <w:gridCol w:w="6180"/>
            <w:gridCol w:w="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Réserver oblige à venir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deux fois</w:t>
            </w:r>
            <w:r w:rsidDel="00000000" w:rsidR="00000000" w:rsidRPr="00000000">
              <w:rPr>
                <w:rtl w:val="0"/>
              </w:rPr>
              <w:t xml:space="preserve"> en mairie (réservation, puis chèques et signature), uniquement aux heures d'ouverture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Deux doubles réservations</w:t>
            </w:r>
            <w:r w:rsidDel="00000000" w:rsidR="00000000" w:rsidRPr="00000000">
              <w:rPr>
                <w:rtl w:val="0"/>
              </w:rPr>
              <w:t xml:space="preserve"> de la salle des fêtes l'an dernier, dont un mariage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Localisation des barnums (et du matériel) inconnue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Associations mécontentes, l'élu est interpellé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Les agents techniques n'ont pas de vue claire de ce qu'ils doivent livrer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Message + README (cahier papier)</w:t>
            </w:r>
          </w:p>
        </w:tc>
      </w:tr>
      <w:tr>
        <w:trPr>
          <w:cantSplit w:val="0"/>
          <w:trHeight w:val="851.8505859375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Double saisie : agenda papier recopié dans Outlook, source probable d'erreurs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910"/>
        <w:gridCol w:w="5640"/>
        <w:tblGridChange w:id="0">
          <w:tblGrid>
            <w:gridCol w:w="795"/>
            <w:gridCol w:w="2910"/>
            <w:gridCol w:w="5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Besoin réel à vérifier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« Site comme Doctolib »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Voir les disponibilités et réservez sans se déplacer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Paiement par carte bancaire en ligne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Éviter le 2ᵉ passage en mairie. Est-ce le paiement, la signature ou les deux 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Appli pour les agents techniques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Planning de livraison lisible. Une appli est-elle nécessaire 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« Solution moderne »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Aucun besoin précis, à faire préciser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0.3514376996806"/>
        <w:gridCol w:w="6593.717893889462"/>
        <w:gridCol w:w="1821.4424794344795"/>
        <w:tblGridChange w:id="0">
          <w:tblGrid>
            <w:gridCol w:w="610.3514376996806"/>
            <w:gridCol w:w="6593.717893889462"/>
            <w:gridCol w:w="1821.4424794344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Présentation au conseil municipal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décembre</w:t>
            </w:r>
            <w:r w:rsidDel="00000000" w:rsidR="00000000" w:rsidRPr="00000000">
              <w:rPr>
                <w:rtl w:val="0"/>
              </w:rPr>
              <w:t xml:space="preserve">, mise en place visée pour les réservations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l'été prochain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Le maire accorde une étude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sans engagement de dépense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README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Réticence de la secrétaire générale sur l'argent public, donc cadre financier et comptable à respecter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 paiement 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encaissé par le régisseur de recettes</w:t>
            </w:r>
            <w:r w:rsidDel="00000000" w:rsidR="00000000" w:rsidRPr="00000000">
              <w:rPr>
                <w:rtl w:val="0"/>
              </w:rPr>
              <w:t xml:space="preserve"> ; les chèques sont à l'ordre du Trésor public. Le paiement CB en ligne suppose un dispositif d'encaissement conforme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Règlement art. 6 + README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Réservation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ferme seulement après signature de la convention et remise des chèques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Règlement art.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 aux associations</w:t>
            </w:r>
            <w:r w:rsidDel="00000000" w:rsidR="00000000" w:rsidRPr="00000000">
              <w:rPr>
                <w:rtl w:val="0"/>
              </w:rPr>
              <w:t xml:space="preserve"> sur leurs dates annuelles (calendrier des fêtes de septembre)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Règlement art.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Tarifs différents selon l'usager, le jour et la salle (gratuité 2 fois/an pour les associations, puis 150 €)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Règlement art. 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Logiciel de gestion fourni par un syndicat intercommunal ; site géré par une agence (devis à chaque modification)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README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Petite équipe : 1 accueil, 0.5 comptable, 4 agents techniques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README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C10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Clés remises le vendredi à 17 h, rendues le lundi à 8 h 30 ; matériel livré le vendredi matin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Règlement art. 8 et 11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or98u7bwzu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Zones d'ombre à lever en entretien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 doubles réservations viennent-elles du recopiage agenda papier → Outlook, ou d'un autre point ? (à vérifier avec le CSV)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signature de la convention peut-elle se faire à distance ? (règlement à modifier ?)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paiement CB est-il autorisé par le régisseur et le Trésor public ? Quelles obligations pour la commune 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syndicat intercommunal propose-t-il déjà un module de réservation 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gère aujourd'hui le calendrier des fêtes, et comment 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budget après l'étude, s'il y en a un 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clm0enzms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Interlocuteurs à interroger en premier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Sophie Garnier</w:t>
      </w:r>
      <w:r w:rsidDel="00000000" w:rsidR="00000000" w:rsidRPr="00000000">
        <w:rPr>
          <w:rtl w:val="0"/>
        </w:rPr>
        <w:t xml:space="preserve"> (accueil) : elle vit le processus de bout en bout.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Nathalie Crozet</w:t>
      </w:r>
      <w:r w:rsidDel="00000000" w:rsidR="00000000" w:rsidRPr="00000000">
        <w:rPr>
          <w:rtl w:val="0"/>
        </w:rPr>
        <w:t xml:space="preserve"> (secrétaire générale) : contraintes réglementaires et comptables.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Didier Massacrier</w:t>
      </w:r>
      <w:r w:rsidDel="00000000" w:rsidR="00000000" w:rsidRPr="00000000">
        <w:rPr>
          <w:rtl w:val="0"/>
        </w:rPr>
        <w:t xml:space="preserve"> (agents techniques) : matériel et livraisons.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Ensuite Bernard Soulier, puis Fabienne Tardy (comité des fêtes)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