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MISSION 10 — Maquettage, Tests IPv6 et Analyse Technique</w:t>
        <w:br/>
        <w:t>Projet CRASH — BTS SIO SISR</w:t>
      </w:r>
    </w:p>
    <w:p>
      <w:r>
        <w:t>Contexte : TP en environnement simulé</w:t>
        <w:br/>
        <w:br/>
        <w:t>Cette mission a pour objectif de mettre en œuvre une architecture IPv6 complète, de tester son fonctionnement sur différents équipements réseau (clients, commutateurs et routeurs) et de produire un compte rendu technique professionnel.</w:t>
        <w:br/>
        <w:br/>
        <w:t>L’infrastructure IPv6 est aujourd’hui indispensable pour anticiper l’évolution des réseaux modernes et préparer la transition progressive depuis IPv4.</w:t>
      </w:r>
    </w:p>
    <w:p>
      <w:pPr>
        <w:pStyle w:val="Heading1"/>
      </w:pPr>
      <w:r>
        <w:t>Tâche 1 — Configuration et test de l’adressage IPv6</w:t>
      </w:r>
    </w:p>
    <w:p>
      <w:r>
        <w:t>Objectif : Permettre aux équipements réseau de communiquer en IPv6.</w:t>
        <w:br/>
        <w:br/>
        <w:t>Le routage IPv6 a été activé sur les routeurs afin d’autoriser la circulation des paquets IPv6 entre les réseaux.</w:t>
      </w:r>
    </w:p>
    <w:p>
      <w:r>
        <w:t>Commandes principales :</w:t>
      </w:r>
    </w:p>
    <w:p>
      <w:r>
        <w:t>ipv6 unicast-routing</w:t>
        <w:br/>
        <w:br/>
        <w:t>interface g0/0</w:t>
        <w:br/>
        <w:t>ipv6 address 2001:DB8:1::1/64</w:t>
        <w:br/>
        <w:t>no shutdown</w:t>
        <w:br/>
        <w:br/>
        <w:t>interface g0/1</w:t>
        <w:br/>
        <w:t>ipv6 address 2001:DB8:12::1/64</w:t>
        <w:br/>
        <w:t>no shutdown</w:t>
      </w:r>
    </w:p>
    <w:p>
      <w:r>
        <w:t>Justification technique :</w:t>
        <w:br/>
        <w:t>L’activation d’IPv6 sur les interfaces permet d’attribuer une adresse unique aux équipements et d’assurer une communication native IPv6 sans recours au NAT.</w:t>
      </w:r>
    </w:p>
    <w:p>
      <w:r>
        <w:t>Validation :</w:t>
      </w:r>
    </w:p>
    <w:p>
      <w:r>
        <w:t>show ipv6 interface brief</w:t>
        <w:br/>
        <w:t>ping ipv6 &lt;adresse distante&gt;</w:t>
        <w:br/>
        <w:br/>
        <w:t>Les réponses ICMPv6 confirment la connectivité IPv6 entre les équipements.</w:t>
      </w:r>
    </w:p>
    <w:p>
      <w:pPr>
        <w:pStyle w:val="Heading1"/>
      </w:pPr>
      <w:r>
        <w:t>Tâche 2 — Mise en place du serveur DHCPv6</w:t>
      </w:r>
    </w:p>
    <w:p>
      <w:r>
        <w:t>Objectif : Automatiser l’attribution des adresses IPv6 aux clients.</w:t>
        <w:br/>
        <w:br/>
        <w:t>Un serveur DHCPv6 a été configuré sur le routeur afin de distribuer automatiquement les paramètres réseau IPv6.</w:t>
      </w:r>
    </w:p>
    <w:p>
      <w:r>
        <w:t>Configuration du pool DHCPv6 :</w:t>
      </w:r>
    </w:p>
    <w:p>
      <w:r>
        <w:t>ipv6 dhcp pool LAN1</w:t>
        <w:br/>
        <w:t>address prefix 2001:DB8:1::/64</w:t>
        <w:br/>
        <w:t>dns-server 2001:4860:4860::8888</w:t>
        <w:br/>
        <w:t>domain-name crash.local</w:t>
      </w:r>
    </w:p>
    <w:p>
      <w:r>
        <w:t>Activation sur l’interface LAN :</w:t>
      </w:r>
    </w:p>
    <w:p>
      <w:r>
        <w:t>interface g0/0</w:t>
        <w:br/>
        <w:t>ipv6 nd managed-config-flag</w:t>
        <w:br/>
        <w:t>ipv6 dhcp server LAN1</w:t>
      </w:r>
    </w:p>
    <w:p>
      <w:r>
        <w:t>Justification technique :</w:t>
        <w:br/>
        <w:t>DHCPv6 permet d’éviter les erreurs de configuration manuelle et facilite le déploiement d’IPv6 dans un environnement professionnel.</w:t>
      </w:r>
    </w:p>
    <w:p>
      <w:r>
        <w:t>Validation :</w:t>
      </w:r>
    </w:p>
    <w:p>
      <w:r>
        <w:t>show ipv6 dhcp binding</w:t>
        <w:br/>
        <w:t>ipconfig (côté client)</w:t>
        <w:br/>
        <w:br/>
        <w:t>Les clients reçoivent automatiquement une adresse IPv6 valide.</w:t>
      </w:r>
    </w:p>
    <w:p>
      <w:pPr>
        <w:pStyle w:val="Heading1"/>
      </w:pPr>
      <w:r>
        <w:t>Tâche 3 — Routage statique IPv6</w:t>
      </w:r>
    </w:p>
    <w:p>
      <w:r>
        <w:t>Objectif : Permettre la communication entre plusieurs réseaux IPv6 via des routes statiques.</w:t>
      </w:r>
    </w:p>
    <w:p>
      <w:r>
        <w:t>Exemple de configuration :</w:t>
      </w:r>
    </w:p>
    <w:p>
      <w:r>
        <w:t>ipv6 route 2001:DB8:3::/64 2001:DB8:12::2</w:t>
      </w:r>
    </w:p>
    <w:p>
      <w:r>
        <w:t>Justification technique :</w:t>
        <w:br/>
        <w:t>Le routage statique permet un contrôle total des chemins réseau et est adapté aux architectures simples ou aux environnements de test.</w:t>
      </w:r>
    </w:p>
    <w:p>
      <w:r>
        <w:t>Validation :</w:t>
      </w:r>
    </w:p>
    <w:p>
      <w:r>
        <w:t>show ipv6 route</w:t>
        <w:br/>
        <w:t>ping ipv6 entre les LAN</w:t>
        <w:br/>
        <w:br/>
        <w:t>La communication inter-réseaux est fonctionnelle.</w:t>
      </w:r>
    </w:p>
    <w:p>
      <w:pPr>
        <w:pStyle w:val="Heading1"/>
      </w:pPr>
      <w:r>
        <w:t>Tâche 4 — Routage dynamique RIPng</w:t>
      </w:r>
    </w:p>
    <w:p>
      <w:r>
        <w:t>Objectif : Automatiser la diffusion des routes IPv6 entre les routeurs.</w:t>
      </w:r>
    </w:p>
    <w:p>
      <w:r>
        <w:t>Activation RIPng :</w:t>
      </w:r>
    </w:p>
    <w:p>
      <w:r>
        <w:t>ipv6 router rip CRASH</w:t>
        <w:br/>
        <w:br/>
        <w:t>interface g0/0</w:t>
        <w:br/>
        <w:t>ipv6 rip CRASH enable</w:t>
      </w:r>
    </w:p>
    <w:p>
      <w:r>
        <w:t>Justification technique :</w:t>
        <w:br/>
        <w:t>Le routage dynamique permet une adaptation automatique du réseau en cas de modification de la topologie, améliorant ainsi la scalabilité.</w:t>
      </w:r>
    </w:p>
    <w:p>
      <w:r>
        <w:t>Validation :</w:t>
      </w:r>
    </w:p>
    <w:p>
      <w:r>
        <w:t>show ipv6 route rip</w:t>
        <w:br/>
        <w:br/>
        <w:t>Les routes dynamiques sont correctement échangées.</w:t>
      </w:r>
    </w:p>
    <w:p>
      <w:pPr>
        <w:pStyle w:val="Heading1"/>
      </w:pPr>
      <w:r>
        <w:t>Analyse professionnelle — Administrateur Systèmes et Réseaux Senior</w:t>
      </w:r>
    </w:p>
    <w:p>
      <w:r>
        <w:t>Justification technique :</w:t>
        <w:br/>
        <w:t>Les intentions techniques sont cohérentes, cependant il est conseillé de préciser davantage les objectifs métier derrière chaque configuration (automatisation, sécurité, évolutivité).</w:t>
      </w:r>
    </w:p>
    <w:p>
      <w:r>
        <w:t>Équilibre précision / synthèse :</w:t>
        <w:br/>
        <w:t>Le niveau de détail est adapté, mais certaines parties pourraient être synthétisées afin d’améliorer la lisibilité globale.</w:t>
      </w:r>
    </w:p>
    <w:p>
      <w:r>
        <w:t>Validation technique :</w:t>
        <w:br/>
        <w:t>La validation est correcte via les commandes de diagnostic. Il est recommandé d’ajouter systématiquement des captures écran pour renforcer la preuve technique.</w:t>
      </w:r>
    </w:p>
    <w:p>
      <w:r>
        <w:t>Structure générale :</w:t>
        <w:br/>
        <w:t>La structure est logique. Une conclusion plus orientée exploitation professionnelle améliorerait encore la qualité du document.</w:t>
      </w:r>
    </w:p>
    <w:p>
      <w:pPr>
        <w:pStyle w:val="Heading1"/>
      </w:pPr>
      <w:r>
        <w:t>Conclusion générale</w:t>
      </w:r>
    </w:p>
    <w:p>
      <w:r>
        <w:t>Cette mission a permis de mettre en œuvre une architecture IPv6 complète intégrant adressage, DHCPv6 et routage dynamique.</w:t>
        <w:br/>
        <w:br/>
        <w:t>Les tests réalisés confirment le bon fonctionnement global. Cette mission constitue une base solide pour un déploiement IPv6 en entreprise.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