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color w:val="555555"/>
          <w:sz w:val="24"/>
          <w:szCs w:val="24"/>
        </w:rPr>
        <w:t xml:space="preserve">Université des Sciences et de la Technologie Houari Boumediene</w:t>
      </w:r>
    </w:p>
    <w:p>
      <w:pPr>
        <w:spacing w:after="400"/>
        <w:jc w:val="center"/>
      </w:pPr>
      <w:r>
        <w:rPr>
          <w:rFonts w:ascii="Arial" w:cs="Arial" w:eastAsia="Arial" w:hAnsi="Arial"/>
          <w:color w:val="777777"/>
          <w:sz w:val="22"/>
          <w:szCs w:val="22"/>
        </w:rPr>
        <w:t xml:space="preserve">Faculté d'Informatique — M1 SII 2025/2026</w:t>
      </w:r>
    </w:p>
    <w:p>
      <w:pPr>
        <w:pBdr>
          <w:bottom w:val="single" w:color="2E75B6" w:sz="8"/>
        </w:pBdr>
        <w:spacing w:after="300"/>
      </w:pPr>
      <w:r>
        <w:t xml:space="preserve"/>
      </w:r>
    </w:p>
    <w:p>
      <w:pPr>
        <w:spacing w:after="200"/>
        <w:jc w:val="center"/>
      </w:pPr>
      <w:r>
        <w:rPr>
          <w:rFonts w:ascii="Arial" w:cs="Arial" w:eastAsia="Arial" w:hAnsi="Arial"/>
          <w:b/>
          <w:bCs/>
          <w:color w:val="1A3A5C"/>
          <w:sz w:val="52"/>
          <w:szCs w:val="52"/>
        </w:rPr>
        <w:t xml:space="preserve">RAPPORT TECHNIQUE</w:t>
      </w:r>
    </w:p>
    <w:p>
      <w:pPr>
        <w:spacing w:after="100"/>
        <w:jc w:val="center"/>
      </w:pPr>
      <w:r>
        <w:rPr>
          <w:rFonts w:ascii="Arial" w:cs="Arial" w:eastAsia="Arial" w:hAnsi="Arial"/>
          <w:b/>
          <w:bCs/>
          <w:color w:val="2E75B6"/>
          <w:sz w:val="40"/>
          <w:szCs w:val="40"/>
        </w:rPr>
        <w:t xml:space="preserve">Deep Learning for Crop Classification</w:t>
      </w:r>
    </w:p>
    <w:p>
      <w:pPr>
        <w:spacing w:after="400"/>
        <w:jc w:val="center"/>
      </w:pPr>
      <w:r>
        <w:rPr>
          <w:rFonts w:ascii="Arial" w:cs="Arial" w:eastAsia="Arial" w:hAnsi="Arial"/>
          <w:b/>
          <w:bCs/>
          <w:color w:val="2E75B6"/>
          <w:sz w:val="40"/>
          <w:szCs w:val="40"/>
        </w:rPr>
        <w:t xml:space="preserve">Using Multi-Source Satellite Data</w:t>
      </w:r>
    </w:p>
    <w:p>
      <w:pPr>
        <w:pBdr>
          <w:top w:val="single" w:color="2E75B6" w:sz="8"/>
        </w:pBdr>
        <w:spacing w:after="200" w:before="200"/>
      </w:pPr>
      <w:r>
        <w:t xml:space="preserve"/>
      </w:r>
    </w:p>
    <w:p>
      <w:pPr>
        <w:spacing w:after="500"/>
        <w:jc w:val="center"/>
      </w:pPr>
      <w:r>
        <w:rPr>
          <w:rFonts w:ascii="Arial" w:cs="Arial" w:eastAsia="Arial" w:hAnsi="Arial"/>
          <w:i/>
          <w:iCs/>
          <w:color w:val="444444"/>
          <w:sz w:val="24"/>
          <w:szCs w:val="24"/>
        </w:rPr>
        <w:t xml:space="preserve">Parties 1 &amp; 2 : Modèle de base et Intégration des covariables environnementales</w:t>
      </w:r>
    </w:p>
    <w:p>
      <w:pPr>
        <w:spacing w:after="120"/>
      </w:pPr>
      <w:r>
        <w:t xml:space="preserve"/>
      </w:r>
    </w:p>
    <w:p>
      <w:pPr>
        <w:spacing w:after="120"/>
      </w:pPr>
      <w:r>
        <w:t xml:space="preserve"/>
      </w:r>
    </w:p>
    <w:p>
      <w:pPr>
        <w:spacing w:after="120"/>
      </w:pPr>
      <w:r>
        <w:t xml:space="preserve"/>
      </w:r>
    </w:p>
    <w:p>
      <w:pPr>
        <w:spacing w:after="80"/>
        <w:jc w:val="center"/>
      </w:pPr>
      <w:r>
        <w:rPr>
          <w:rFonts w:ascii="Arial" w:cs="Arial" w:eastAsia="Arial" w:hAnsi="Arial"/>
          <w:color w:val="555555"/>
          <w:sz w:val="22"/>
          <w:szCs w:val="22"/>
        </w:rPr>
        <w:t xml:space="preserve">Année universitaire : 2025/2026</w:t>
      </w:r>
    </w:p>
    <w:p>
      <w:r>
        <w:br w:type="page"/>
      </w:r>
    </w:p>
    <w:p>
      <w:pPr>
        <w:pStyle w:val="Heading1"/>
        <w:pBdr>
          <w:bottom w:val="single" w:color="2E75B6" w:sz="8" w:space="4"/>
        </w:pBdr>
        <w:spacing w:after="200" w:before="360"/>
      </w:pPr>
      <w:r>
        <w:rPr>
          <w:rFonts w:ascii="Arial" w:cs="Arial" w:eastAsia="Arial" w:hAnsi="Arial"/>
          <w:b/>
          <w:bCs/>
          <w:color w:val="1A3A5C"/>
          <w:sz w:val="32"/>
          <w:szCs w:val="32"/>
        </w:rPr>
        <w:t xml:space="preserve">Table des Matières</w:t>
      </w:r>
    </w:p>
    <w:p>
      <w:pPr>
        <w:spacing w:after="120"/>
        <w:jc w:val="both"/>
      </w:pPr>
      <w:r>
        <w:rPr>
          <w:rFonts w:ascii="Arial" w:cs="Arial" w:eastAsia="Arial" w:hAnsi="Arial"/>
          <w:color w:val="222222"/>
          <w:sz w:val="22"/>
          <w:szCs w:val="22"/>
        </w:rPr>
        <w:t xml:space="preserve">1. Introduction et contexte du projet</w:t>
      </w:r>
    </w:p>
    <w:p>
      <w:pPr>
        <w:spacing w:after="120"/>
        <w:jc w:val="both"/>
      </w:pPr>
      <w:r>
        <w:rPr>
          <w:rFonts w:ascii="Arial" w:cs="Arial" w:eastAsia="Arial" w:hAnsi="Arial"/>
          <w:color w:val="222222"/>
          <w:sz w:val="22"/>
          <w:szCs w:val="22"/>
        </w:rPr>
        <w:t xml:space="preserve">2. Description des données et pipeline de prétraitement</w:t>
      </w:r>
    </w:p>
    <w:p>
      <w:pPr>
        <w:spacing w:after="120"/>
        <w:jc w:val="both"/>
      </w:pPr>
      <w:r>
        <w:rPr>
          <w:rFonts w:ascii="Arial" w:cs="Arial" w:eastAsia="Arial" w:hAnsi="Arial"/>
          <w:color w:val="222222"/>
          <w:sz w:val="22"/>
          <w:szCs w:val="22"/>
        </w:rPr>
        <w:t xml:space="preserve">   2.1 Acquisition des données Sentinel-2</w:t>
      </w:r>
    </w:p>
    <w:p>
      <w:pPr>
        <w:spacing w:after="120"/>
        <w:jc w:val="both"/>
      </w:pPr>
      <w:r>
        <w:rPr>
          <w:rFonts w:ascii="Arial" w:cs="Arial" w:eastAsia="Arial" w:hAnsi="Arial"/>
          <w:color w:val="222222"/>
          <w:sz w:val="22"/>
          <w:szCs w:val="22"/>
        </w:rPr>
        <w:t xml:space="preserve">   2.2 Couche de données des cultures (CDL)</w:t>
      </w:r>
    </w:p>
    <w:p>
      <w:pPr>
        <w:spacing w:after="120"/>
        <w:jc w:val="both"/>
      </w:pPr>
      <w:r>
        <w:rPr>
          <w:rFonts w:ascii="Arial" w:cs="Arial" w:eastAsia="Arial" w:hAnsi="Arial"/>
          <w:color w:val="222222"/>
          <w:sz w:val="22"/>
          <w:szCs w:val="22"/>
        </w:rPr>
        <w:t xml:space="preserve">   2.3 Pipeline de prétraitement</w:t>
      </w:r>
    </w:p>
    <w:p>
      <w:pPr>
        <w:spacing w:after="120"/>
        <w:jc w:val="both"/>
      </w:pPr>
      <w:r>
        <w:rPr>
          <w:rFonts w:ascii="Arial" w:cs="Arial" w:eastAsia="Arial" w:hAnsi="Arial"/>
          <w:color w:val="222222"/>
          <w:sz w:val="22"/>
          <w:szCs w:val="22"/>
        </w:rPr>
        <w:t xml:space="preserve">3. Partie 1 : Modèle de classification de base</w:t>
      </w:r>
    </w:p>
    <w:p>
      <w:pPr>
        <w:spacing w:after="120"/>
        <w:jc w:val="both"/>
      </w:pPr>
      <w:r>
        <w:rPr>
          <w:rFonts w:ascii="Arial" w:cs="Arial" w:eastAsia="Arial" w:hAnsi="Arial"/>
          <w:color w:val="222222"/>
          <w:sz w:val="22"/>
          <w:szCs w:val="22"/>
        </w:rPr>
        <w:t xml:space="preserve">   3.1 Revue de la littérature</w:t>
      </w:r>
    </w:p>
    <w:p>
      <w:pPr>
        <w:spacing w:after="120"/>
        <w:jc w:val="both"/>
      </w:pPr>
      <w:r>
        <w:rPr>
          <w:rFonts w:ascii="Arial" w:cs="Arial" w:eastAsia="Arial" w:hAnsi="Arial"/>
          <w:color w:val="222222"/>
          <w:sz w:val="22"/>
          <w:szCs w:val="22"/>
        </w:rPr>
        <w:t xml:space="preserve">   3.2 Architecture MCTNet — Description détaillée</w:t>
      </w:r>
    </w:p>
    <w:p>
      <w:pPr>
        <w:spacing w:after="120"/>
        <w:jc w:val="both"/>
      </w:pPr>
      <w:r>
        <w:rPr>
          <w:rFonts w:ascii="Arial" w:cs="Arial" w:eastAsia="Arial" w:hAnsi="Arial"/>
          <w:color w:val="222222"/>
          <w:sz w:val="22"/>
          <w:szCs w:val="22"/>
        </w:rPr>
        <w:t xml:space="preserve">   3.3 Implémentation et entraînement</w:t>
      </w:r>
    </w:p>
    <w:p>
      <w:pPr>
        <w:spacing w:after="120"/>
        <w:jc w:val="both"/>
      </w:pPr>
      <w:r>
        <w:rPr>
          <w:rFonts w:ascii="Arial" w:cs="Arial" w:eastAsia="Arial" w:hAnsi="Arial"/>
          <w:color w:val="222222"/>
          <w:sz w:val="22"/>
          <w:szCs w:val="22"/>
        </w:rPr>
        <w:t xml:space="preserve">   3.4 Résultats — Arkansas</w:t>
      </w:r>
    </w:p>
    <w:p>
      <w:pPr>
        <w:spacing w:after="120"/>
        <w:jc w:val="both"/>
      </w:pPr>
      <w:r>
        <w:rPr>
          <w:rFonts w:ascii="Arial" w:cs="Arial" w:eastAsia="Arial" w:hAnsi="Arial"/>
          <w:color w:val="222222"/>
          <w:sz w:val="22"/>
          <w:szCs w:val="22"/>
        </w:rPr>
        <w:t xml:space="preserve">   3.5 Résultats — California</w:t>
      </w:r>
    </w:p>
    <w:p>
      <w:pPr>
        <w:spacing w:after="120"/>
        <w:jc w:val="both"/>
      </w:pPr>
      <w:r>
        <w:rPr>
          <w:rFonts w:ascii="Arial" w:cs="Arial" w:eastAsia="Arial" w:hAnsi="Arial"/>
          <w:color w:val="222222"/>
          <w:sz w:val="22"/>
          <w:szCs w:val="22"/>
        </w:rPr>
        <w:t xml:space="preserve">4. Partie 2 : Intégration des covariables environnementales</w:t>
      </w:r>
    </w:p>
    <w:p>
      <w:pPr>
        <w:spacing w:after="120"/>
        <w:jc w:val="both"/>
      </w:pPr>
      <w:r>
        <w:rPr>
          <w:rFonts w:ascii="Arial" w:cs="Arial" w:eastAsia="Arial" w:hAnsi="Arial"/>
          <w:color w:val="222222"/>
          <w:sz w:val="22"/>
          <w:szCs w:val="22"/>
        </w:rPr>
        <w:t xml:space="preserve">   4.1 Covariables climatiques (ERA5)</w:t>
      </w:r>
    </w:p>
    <w:p>
      <w:pPr>
        <w:spacing w:after="120"/>
        <w:jc w:val="both"/>
      </w:pPr>
      <w:r>
        <w:rPr>
          <w:rFonts w:ascii="Arial" w:cs="Arial" w:eastAsia="Arial" w:hAnsi="Arial"/>
          <w:color w:val="222222"/>
          <w:sz w:val="22"/>
          <w:szCs w:val="22"/>
        </w:rPr>
        <w:t xml:space="preserve">   4.2 Covariables pédologiques (OpenLandMap)</w:t>
      </w:r>
    </w:p>
    <w:p>
      <w:pPr>
        <w:spacing w:after="120"/>
        <w:jc w:val="both"/>
      </w:pPr>
      <w:r>
        <w:rPr>
          <w:rFonts w:ascii="Arial" w:cs="Arial" w:eastAsia="Arial" w:hAnsi="Arial"/>
          <w:color w:val="222222"/>
          <w:sz w:val="22"/>
          <w:szCs w:val="22"/>
        </w:rPr>
        <w:t xml:space="preserve">   4.3 Covariables topographiques (ETOPO1 + ALOS)</w:t>
      </w:r>
    </w:p>
    <w:p>
      <w:pPr>
        <w:spacing w:after="120"/>
        <w:jc w:val="both"/>
      </w:pPr>
      <w:r>
        <w:rPr>
          <w:rFonts w:ascii="Arial" w:cs="Arial" w:eastAsia="Arial" w:hAnsi="Arial"/>
          <w:color w:val="222222"/>
          <w:sz w:val="22"/>
          <w:szCs w:val="22"/>
        </w:rPr>
        <w:t xml:space="preserve">   4.4 Analyse exploratoire des covariables (EDA)</w:t>
      </w:r>
    </w:p>
    <w:p>
      <w:pPr>
        <w:spacing w:after="120"/>
        <w:jc w:val="both"/>
      </w:pPr>
      <w:r>
        <w:rPr>
          <w:rFonts w:ascii="Arial" w:cs="Arial" w:eastAsia="Arial" w:hAnsi="Arial"/>
          <w:color w:val="222222"/>
          <w:sz w:val="22"/>
          <w:szCs w:val="22"/>
        </w:rPr>
        <w:t xml:space="preserve">   4.5 Architecture MCTNetCov — Late Fusion</w:t>
      </w:r>
    </w:p>
    <w:p>
      <w:pPr>
        <w:spacing w:after="120"/>
        <w:jc w:val="both"/>
      </w:pPr>
      <w:r>
        <w:rPr>
          <w:rFonts w:ascii="Arial" w:cs="Arial" w:eastAsia="Arial" w:hAnsi="Arial"/>
          <w:color w:val="222222"/>
          <w:sz w:val="22"/>
          <w:szCs w:val="22"/>
        </w:rPr>
        <w:t xml:space="preserve">   4.6 Ablation Study — 5 configurations</w:t>
      </w:r>
    </w:p>
    <w:p>
      <w:pPr>
        <w:spacing w:after="120"/>
        <w:jc w:val="both"/>
      </w:pPr>
      <w:r>
        <w:rPr>
          <w:rFonts w:ascii="Arial" w:cs="Arial" w:eastAsia="Arial" w:hAnsi="Arial"/>
          <w:color w:val="222222"/>
          <w:sz w:val="22"/>
          <w:szCs w:val="22"/>
        </w:rPr>
        <w:t xml:space="preserve">   4.7 Résultats Arkansas</w:t>
      </w:r>
    </w:p>
    <w:p>
      <w:pPr>
        <w:spacing w:after="120"/>
        <w:jc w:val="both"/>
      </w:pPr>
      <w:r>
        <w:rPr>
          <w:rFonts w:ascii="Arial" w:cs="Arial" w:eastAsia="Arial" w:hAnsi="Arial"/>
          <w:color w:val="222222"/>
          <w:sz w:val="22"/>
          <w:szCs w:val="22"/>
        </w:rPr>
        <w:t xml:space="preserve">   4.8 Résultats California</w:t>
      </w:r>
    </w:p>
    <w:p>
      <w:pPr>
        <w:spacing w:after="120"/>
        <w:jc w:val="both"/>
      </w:pPr>
      <w:r>
        <w:rPr>
          <w:rFonts w:ascii="Arial" w:cs="Arial" w:eastAsia="Arial" w:hAnsi="Arial"/>
          <w:color w:val="222222"/>
          <w:sz w:val="22"/>
          <w:szCs w:val="22"/>
        </w:rPr>
        <w:t xml:space="preserve">5. Discussion et analyse comparative</w:t>
      </w:r>
    </w:p>
    <w:p>
      <w:pPr>
        <w:spacing w:after="120"/>
        <w:jc w:val="both"/>
      </w:pPr>
      <w:r>
        <w:rPr>
          <w:rFonts w:ascii="Arial" w:cs="Arial" w:eastAsia="Arial" w:hAnsi="Arial"/>
          <w:color w:val="222222"/>
          <w:sz w:val="22"/>
          <w:szCs w:val="22"/>
        </w:rPr>
        <w:t xml:space="preserve">6. Conclusion</w:t>
      </w:r>
    </w:p>
    <w:p>
      <w:pPr>
        <w:spacing w:after="120"/>
        <w:jc w:val="both"/>
      </w:pPr>
      <w:r>
        <w:rPr>
          <w:rFonts w:ascii="Arial" w:cs="Arial" w:eastAsia="Arial" w:hAnsi="Arial"/>
          <w:color w:val="222222"/>
          <w:sz w:val="22"/>
          <w:szCs w:val="22"/>
        </w:rPr>
        <w:t xml:space="preserve">7. Références</w:t>
      </w:r>
    </w:p>
    <w:p>
      <w:r>
        <w:br w:type="page"/>
      </w:r>
    </w:p>
    <w:p>
      <w:pPr>
        <w:pStyle w:val="Heading1"/>
        <w:pBdr>
          <w:bottom w:val="single" w:color="2E75B6" w:sz="8" w:space="4"/>
        </w:pBdr>
        <w:spacing w:after="200" w:before="360"/>
      </w:pPr>
      <w:r>
        <w:rPr>
          <w:rFonts w:ascii="Arial" w:cs="Arial" w:eastAsia="Arial" w:hAnsi="Arial"/>
          <w:b/>
          <w:bCs/>
          <w:color w:val="1A3A5C"/>
          <w:sz w:val="32"/>
          <w:szCs w:val="32"/>
        </w:rPr>
        <w:t xml:space="preserve">1. Introduction et contexte du projet</w:t>
      </w:r>
    </w:p>
    <w:p>
      <w:pPr>
        <w:spacing w:after="120"/>
        <w:jc w:val="both"/>
      </w:pPr>
      <w:r>
        <w:rPr>
          <w:rFonts w:ascii="Arial" w:cs="Arial" w:eastAsia="Arial" w:hAnsi="Arial"/>
          <w:color w:val="222222"/>
          <w:sz w:val="22"/>
          <w:szCs w:val="22"/>
        </w:rPr>
        <w:t xml:space="preserve">La surveillance des types de cultures agricoles à grande échelle constitue un enjeu fondamental pour la gestion agricole, l'évaluation de la sécurité alimentaire et le suivi environnemental. L'imagerie satellitaire offre un moyen puissant de cartographier les cultures à grande échelle, en particulier lorsqu'on utilise des observations en séries temporelles qui capturent le développement phénologique de la végétation tout au long de la saison de croissance.</w:t>
      </w:r>
    </w:p>
    <w:p>
      <w:pPr>
        <w:spacing w:after="120"/>
        <w:jc w:val="both"/>
      </w:pPr>
      <w:r>
        <w:rPr>
          <w:rFonts w:ascii="Arial" w:cs="Arial" w:eastAsia="Arial" w:hAnsi="Arial"/>
          <w:color w:val="222222"/>
          <w:sz w:val="22"/>
          <w:szCs w:val="22"/>
        </w:rPr>
        <w:t xml:space="preserve">Les avancées récentes en apprentissage profond ont considérablement amélioré la précision de la classification des cultures. En particulier, les architectures hybrides combinant des réseaux de neurones convolutifs (CNN) et des Transformers ont démontré des performances élevées dans la modélisation des dépendances temporelles dans les données satellitaires. Ce projet s'inscrit dans cette dynamique en reproduisant et étendant la méthodologie proposée par Wang et al. (2024).</w:t>
      </w:r>
    </w:p>
    <w:p>
      <w:pPr>
        <w:spacing w:after="120"/>
        <w:jc w:val="both"/>
      </w:pPr>
      <w:r>
        <w:rPr>
          <w:rFonts w:ascii="Arial" w:cs="Arial" w:eastAsia="Arial" w:hAnsi="Arial"/>
          <w:color w:val="222222"/>
          <w:sz w:val="22"/>
          <w:szCs w:val="22"/>
        </w:rPr>
        <w:t xml:space="preserve">Ce rapport décrit le travail réalisé en deux parties principales. La Partie 1 vise à reproduire fidèlement le pipeline de préparation des données et l'architecture MCTNet (Multi-scale Convolutional Transformer Network) proposés dans le papier de référence. La Partie 2 étend le cadre en intégrant des covariables environnementales supplémentaires — climatiques, pédologiques et topographiques — pour évaluer leur impact sur la précision de classification à travers une étude d'ablation systématique.</w:t>
      </w:r>
    </w:p>
    <w:p>
      <w:pPr>
        <w:spacing w:after="120"/>
        <w:jc w:val="both"/>
      </w:pPr>
      <w:r>
        <w:rPr>
          <w:rFonts w:ascii="Arial" w:cs="Arial" w:eastAsia="Arial" w:hAnsi="Arial"/>
          <w:color w:val="222222"/>
          <w:sz w:val="22"/>
          <w:szCs w:val="22"/>
        </w:rPr>
        <w:t xml:space="preserve">Les deux régions d'étude sont situées aux États-Unis : l'Arkansas (Delta du Mississippi, dominé par le riz et le soja) et la Californie (vallées de Sacramento et San Joaquin, avec une diversité de cultures fruitières et céréalières).</w:t>
      </w:r>
    </w:p>
    <w:p>
      <w:r>
        <w:br w:type="page"/>
      </w:r>
    </w:p>
    <w:p>
      <w:pPr>
        <w:pStyle w:val="Heading1"/>
        <w:pBdr>
          <w:bottom w:val="single" w:color="2E75B6" w:sz="8" w:space="4"/>
        </w:pBdr>
        <w:spacing w:after="200" w:before="360"/>
      </w:pPr>
      <w:r>
        <w:rPr>
          <w:rFonts w:ascii="Arial" w:cs="Arial" w:eastAsia="Arial" w:hAnsi="Arial"/>
          <w:b/>
          <w:bCs/>
          <w:color w:val="1A3A5C"/>
          <w:sz w:val="32"/>
          <w:szCs w:val="32"/>
        </w:rPr>
        <w:t xml:space="preserve">2. Description des données et pipeline de prétraitement</w:t>
      </w:r>
    </w:p>
    <w:p>
      <w:pPr>
        <w:pStyle w:val="Heading2"/>
        <w:spacing w:after="140" w:before="280"/>
      </w:pPr>
      <w:r>
        <w:rPr>
          <w:rFonts w:ascii="Arial" w:cs="Arial" w:eastAsia="Arial" w:hAnsi="Arial"/>
          <w:b/>
          <w:bCs/>
          <w:color w:val="2E4057"/>
          <w:sz w:val="28"/>
          <w:szCs w:val="28"/>
        </w:rPr>
        <w:t xml:space="preserve">2.1 Données Sentinel-2 (images satellitaires)</w:t>
      </w:r>
    </w:p>
    <w:p>
      <w:pPr>
        <w:spacing w:after="120"/>
        <w:jc w:val="both"/>
      </w:pPr>
      <w:r>
        <w:rPr>
          <w:rFonts w:ascii="Arial" w:cs="Arial" w:eastAsia="Arial" w:hAnsi="Arial"/>
          <w:color w:val="222222"/>
          <w:sz w:val="22"/>
          <w:szCs w:val="22"/>
        </w:rPr>
        <w:t xml:space="preserve">Les images Sentinel-2 proviennent de la collection COPERNICUS/S2_SR_HARMONIZED disponible sur Google Earth Engine (GEE). Il s'agit d'un capteur multispectral à haute résolution spatiale (10-60 m selon la bande) exploité par l'Agence Spatiale Européenne. Les données utilisées couvrent l'année 2021 avec une résolution temporelle de 10 jours, découpée en 36 timesteps (3 fenêtres par mois × 12 mois).</w:t>
      </w:r>
    </w:p>
    <w:p>
      <w:pPr>
        <w:pStyle w:val="Heading3"/>
        <w:spacing w:after="100" w:before="200"/>
      </w:pPr>
      <w:r>
        <w:rPr>
          <w:rFonts w:ascii="Arial" w:cs="Arial" w:eastAsia="Arial" w:hAnsi="Arial"/>
          <w:b/>
          <w:bCs/>
          <w:color w:val="1D6FA4"/>
          <w:sz w:val="24"/>
          <w:szCs w:val="24"/>
        </w:rPr>
        <w:t xml:space="preserve">Bandes spectrales utilisées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Bande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Longueur d'onde (nm)</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Résolution (m)</w:t>
            </w:r>
          </w:p>
        </w:tc>
        <w:tc>
          <w:tcPr>
            <w:tcW w:type="dxa" w:w="24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Information</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B02</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Blue</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490</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10</w:t>
            </w:r>
          </w:p>
        </w:tc>
        <w:tc>
          <w:tcPr>
            <w:tcW w:type="dxa" w:w="24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Absorption chlorophylle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B03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Green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560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10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Réflectance végétation</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B04</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Red</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665</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10</w:t>
            </w:r>
          </w:p>
        </w:tc>
        <w:tc>
          <w:tcPr>
            <w:tcW w:type="dxa" w:w="24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Absorption chlorophylle (NDVI)</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B05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Red-Edge 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705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Teneur en chlorophylle</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B06</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Red-Edge 2</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740</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20</w:t>
            </w:r>
          </w:p>
        </w:tc>
        <w:tc>
          <w:tcPr>
            <w:tcW w:type="dxa" w:w="24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Structure végétative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B07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Red-Edge 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783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Contenu en eau foliaire</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B08</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NIR</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842</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10</w:t>
            </w:r>
          </w:p>
        </w:tc>
        <w:tc>
          <w:tcPr>
            <w:tcW w:type="dxa" w:w="24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Biomasse (NDVI)</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B8A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Narrow NIR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865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Indice de végétation</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B11</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SWIR 1</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1610</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20</w:t>
            </w:r>
          </w:p>
        </w:tc>
        <w:tc>
          <w:tcPr>
            <w:tcW w:type="dxa" w:w="24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Humidité du sol/végétation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B12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SWIR 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2190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20</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Teneur en eau de la végétation</w:t>
            </w:r>
          </w:p>
        </w:tc>
      </w:tr>
    </w:tbl>
    <w:p>
      <w:pPr>
        <w:spacing w:after="120"/>
      </w:pPr>
      <w:r>
        <w:t xml:space="preserve"/>
      </w:r>
    </w:p>
    <w:p>
      <w:pPr>
        <w:pStyle w:val="Heading2"/>
        <w:spacing w:after="140" w:before="280"/>
      </w:pPr>
      <w:r>
        <w:rPr>
          <w:rFonts w:ascii="Arial" w:cs="Arial" w:eastAsia="Arial" w:hAnsi="Arial"/>
          <w:b/>
          <w:bCs/>
          <w:color w:val="2E4057"/>
          <w:sz w:val="28"/>
          <w:szCs w:val="28"/>
        </w:rPr>
        <w:t xml:space="preserve">2.2 Cropland Data Layer (CDL)</w:t>
      </w:r>
    </w:p>
    <w:p>
      <w:pPr>
        <w:spacing w:after="120"/>
        <w:jc w:val="both"/>
      </w:pPr>
      <w:r>
        <w:rPr>
          <w:rFonts w:ascii="Arial" w:cs="Arial" w:eastAsia="Arial" w:hAnsi="Arial"/>
          <w:color w:val="222222"/>
          <w:sz w:val="22"/>
          <w:szCs w:val="22"/>
        </w:rPr>
        <w:t xml:space="preserve">Les étiquettes de classes proviennent du Cropland Data Layer (CDL) de l'USDA-NASS, disponible dans GEE sous la collection USDA/NASS/CDL. Il s'agit d'une carte de l'occupation des terres agricoles au niveau du pixel (30 m), produite annuellement pour les États-Unis. Seule l'édition 2021 est utilisée, avec un seuil de confiance de 95% appliqué pour ne retenir que les pixels les plus fiables. Un masque WorldCover (ESA) est également appliqué pour s'assurer que seuls les pixels agricoles sont conservés.</w:t>
      </w:r>
    </w:p>
    <w:p>
      <w:pPr>
        <w:pStyle w:val="Heading3"/>
        <w:spacing w:after="100" w:before="200"/>
      </w:pPr>
      <w:r>
        <w:rPr>
          <w:rFonts w:ascii="Arial" w:cs="Arial" w:eastAsia="Arial" w:hAnsi="Arial"/>
          <w:b/>
          <w:bCs/>
          <w:color w:val="1D6FA4"/>
          <w:sz w:val="24"/>
          <w:szCs w:val="24"/>
        </w:rPr>
        <w:t xml:space="preserve">Classes Arkansas (5 classes)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CDL</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 (total)</w:t>
            </w:r>
          </w:p>
        </w:tc>
      </w:tr>
      <w:tr>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0</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Corn (Maïs)</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1 520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Cotton (Coton)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762</w:t>
            </w:r>
          </w:p>
        </w:tc>
      </w:tr>
      <w:tr>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2</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Rice (Riz)</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3</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2 423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Soybean (Soja)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4 677</w:t>
            </w:r>
          </w:p>
        </w:tc>
      </w:tr>
      <w:tr>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4</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Others (Autres)</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&gt;5</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618</w:t>
            </w:r>
          </w:p>
        </w:tc>
      </w:tr>
    </w:tbl>
    <w:p>
      <w:pPr>
        <w:spacing w:after="120"/>
      </w:pPr>
      <w:r>
        <w:t xml:space="preserve"/>
      </w:r>
    </w:p>
    <w:p>
      <w:pPr>
        <w:pStyle w:val="Heading3"/>
        <w:spacing w:after="100" w:before="200"/>
      </w:pPr>
      <w:r>
        <w:rPr>
          <w:rFonts w:ascii="Arial" w:cs="Arial" w:eastAsia="Arial" w:hAnsi="Arial"/>
          <w:b/>
          <w:bCs/>
          <w:color w:val="1D6FA4"/>
          <w:sz w:val="24"/>
          <w:szCs w:val="24"/>
        </w:rPr>
        <w:t xml:space="preserve">Classes California (6 classes)</w:t>
      </w:r>
    </w:p>
    <w:tbl>
      <w:tblPr>
        <w:tblW w:type="dxa" w:w="956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CDL</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 (total)</w:t>
            </w:r>
          </w:p>
        </w:tc>
      </w:tr>
      <w:tr>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0</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Grapes (Raisin)</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27</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2 054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Rice (Riz)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2 037</w:t>
            </w:r>
          </w:p>
        </w:tc>
      </w:tr>
      <w:tr>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2</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Alfalfa (Luzerne)</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36</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974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Almonds (Amandes)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75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783</w:t>
            </w:r>
          </w:p>
        </w:tc>
      </w:tr>
      <w:tr>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4</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Pistachios (Pistaches)</w:t>
            </w:r>
          </w:p>
        </w:tc>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204</w:t>
            </w:r>
          </w:p>
        </w:tc>
        <w:tc>
          <w:tcPr>
            <w:tcW w:type="dxa" w:w="2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640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Others (Autres)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divers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3 512</w:t>
            </w:r>
          </w:p>
        </w:tc>
      </w:tr>
    </w:tbl>
    <w:p>
      <w:pPr>
        <w:spacing w:after="120"/>
      </w:pPr>
      <w:r>
        <w:t xml:space="preserve"/>
      </w:r>
    </w:p>
    <w:p>
      <w:pPr>
        <w:pStyle w:val="Heading2"/>
        <w:spacing w:after="140" w:before="280"/>
      </w:pPr>
      <w:r>
        <w:rPr>
          <w:rFonts w:ascii="Arial" w:cs="Arial" w:eastAsia="Arial" w:hAnsi="Arial"/>
          <w:b/>
          <w:bCs/>
          <w:color w:val="2E4057"/>
          <w:sz w:val="28"/>
          <w:szCs w:val="28"/>
        </w:rPr>
        <w:t xml:space="preserve">2.3 Pipeline d'acquisition GEE (Step 0)</w:t>
      </w:r>
    </w:p>
    <w:p>
      <w:pPr>
        <w:spacing w:after="120"/>
        <w:jc w:val="both"/>
      </w:pPr>
      <w:r>
        <w:rPr>
          <w:rFonts w:ascii="Arial" w:cs="Arial" w:eastAsia="Arial" w:hAnsi="Arial"/>
          <w:color w:val="222222"/>
          <w:sz w:val="22"/>
          <w:szCs w:val="22"/>
        </w:rPr>
        <w:t xml:space="preserve">L'acquisition des données suit un protocole en deux étapes implémenté dans le script GEE (step0_gee_arkansas_v5.js).</w:t>
      </w:r>
    </w:p>
    <w:p>
      <w:pPr>
        <w:pStyle w:val="Heading3"/>
        <w:spacing w:after="100" w:before="200"/>
      </w:pPr>
      <w:r>
        <w:rPr>
          <w:rFonts w:ascii="Arial" w:cs="Arial" w:eastAsia="Arial" w:hAnsi="Arial"/>
          <w:b/>
          <w:bCs/>
          <w:color w:val="1D6FA4"/>
          <w:sz w:val="24"/>
          <w:szCs w:val="24"/>
        </w:rPr>
        <w:t xml:space="preserve">Étape CDL_SAMPLE — Échantillonnage stratifié</w:t>
      </w:r>
    </w:p>
    <w:p>
      <w:pPr>
        <w:spacing w:after="120"/>
        <w:jc w:val="both"/>
      </w:pPr>
      <w:r>
        <w:rPr>
          <w:rFonts w:ascii="Arial" w:cs="Arial" w:eastAsia="Arial" w:hAnsi="Arial"/>
          <w:color w:val="222222"/>
          <w:sz w:val="22"/>
          <w:szCs w:val="22"/>
        </w:rPr>
        <w:t xml:space="preserve">La fonction stratifiedSample() de GEE est utilisée pour garantir exactement N points par classe, répartis sur 2 zones géographiques. Le paramètre seed=42 assure la reproductibilité. Chaque zone couvre une portion du Delta alluvial d'Arkansas ou des vallées californiennes.</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labels.stratifiedSample({ classBand: 'crop_label', classValues: [0,1,2,3,4],</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  classPoints: [760,380,1210,2340,310], seed: 42, scale: 30, tileScale: 16 })</w:t>
      </w:r>
    </w:p>
    <w:p>
      <w:pPr>
        <w:pStyle w:val="Heading3"/>
        <w:spacing w:after="100" w:before="200"/>
      </w:pPr>
      <w:r>
        <w:rPr>
          <w:rFonts w:ascii="Arial" w:cs="Arial" w:eastAsia="Arial" w:hAnsi="Arial"/>
          <w:b/>
          <w:bCs/>
          <w:color w:val="1D6FA4"/>
          <w:sz w:val="24"/>
          <w:szCs w:val="24"/>
        </w:rPr>
        <w:t xml:space="preserve">Étape SPECTRAL — Extraction des bandes Sentinel-2</w:t>
      </w:r>
    </w:p>
    <w:p>
      <w:pPr>
        <w:spacing w:after="120"/>
        <w:jc w:val="both"/>
      </w:pPr>
      <w:r>
        <w:rPr>
          <w:rFonts w:ascii="Arial" w:cs="Arial" w:eastAsia="Arial" w:hAnsi="Arial"/>
          <w:color w:val="222222"/>
          <w:sz w:val="22"/>
          <w:szCs w:val="22"/>
        </w:rPr>
        <w:t xml:space="preserve">Pour chacun des 36 timesteps, un composite médian Sentinel-2 est calculé sur la fenêtre de 10 jours. Le filtre SCL (Scene Classification Layer) masque les nuages (classes 8-10), l'eau (classe 6) et les ombres (classe 3). Les pixels manquants sont mis à zéro (unmask(0)) et la valeur du masque est enregistrée dans une variable binaire (mask=1 si missing, 0 si données présentes).</w:t>
      </w:r>
    </w:p>
    <w:p>
      <w:pPr>
        <w:pStyle w:val="Heading2"/>
        <w:spacing w:after="140" w:before="280"/>
      </w:pPr>
      <w:r>
        <w:rPr>
          <w:rFonts w:ascii="Arial" w:cs="Arial" w:eastAsia="Arial" w:hAnsi="Arial"/>
          <w:b/>
          <w:bCs/>
          <w:color w:val="2E4057"/>
          <w:sz w:val="28"/>
          <w:szCs w:val="28"/>
        </w:rPr>
        <w:t xml:space="preserve">2.4 Prétraitement Python (Steps 1-3)</w:t>
      </w:r>
    </w:p>
    <w:p>
      <w:pPr>
        <w:spacing w:after="120"/>
        <w:jc w:val="both"/>
      </w:pPr>
      <w:r>
        <w:rPr>
          <w:rFonts w:ascii="Arial" w:cs="Arial" w:eastAsia="Arial" w:hAnsi="Arial"/>
          <w:color w:val="222222"/>
          <w:sz w:val="22"/>
          <w:szCs w:val="22"/>
        </w:rPr>
        <w:t xml:space="preserve">Le script cal_step_1_Merge.py fusionne les 74 CSV GEE (2 CDL + 36×2 spectral) en un fichier NPZ unique. L'alignement est réalisé par system:index, qui est identique entre tous les CSV grâce au seed=42. La matrice résultante X possède la forme [N, 36, 10] en float32.</w:t>
      </w:r>
    </w:p>
    <w:p>
      <w:pPr>
        <w:pStyle w:val="Heading3"/>
        <w:spacing w:after="100" w:before="200"/>
      </w:pPr>
      <w:r>
        <w:rPr>
          <w:rFonts w:ascii="Arial" w:cs="Arial" w:eastAsia="Arial" w:hAnsi="Arial"/>
          <w:b/>
          <w:bCs/>
          <w:color w:val="1D6FA4"/>
          <w:sz w:val="24"/>
          <w:szCs w:val="24"/>
        </w:rPr>
        <w:t xml:space="preserve">Normalisation (Step 3)</w:t>
      </w:r>
    </w:p>
    <w:p>
      <w:pPr>
        <w:spacing w:after="120"/>
        <w:jc w:val="both"/>
      </w:pPr>
      <w:r>
        <w:rPr>
          <w:rFonts w:ascii="Arial" w:cs="Arial" w:eastAsia="Arial" w:hAnsi="Arial"/>
          <w:color w:val="222222"/>
          <w:sz w:val="22"/>
          <w:szCs w:val="22"/>
        </w:rPr>
        <w:t xml:space="preserve">Une normalisation min-max est appliquée bande par bande, calculée exclusivement sur le jeu d'entraînement pour éviter toute fuite d'information. Les valeurs normalisées sont bornées dans [0, 1]. Les pixels manquants (mask=1) conservent la valeur 0.0.</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X_norm[:, :, b] = np.where(mask == 0, np.clip((X[:, :, b] - b_min) / denom, 0, 1), 0.0)</w:t>
      </w:r>
    </w:p>
    <w:p>
      <w:pPr>
        <w:pStyle w:val="Heading3"/>
        <w:spacing w:after="100" w:before="200"/>
      </w:pPr>
      <w:r>
        <w:rPr>
          <w:rFonts w:ascii="Arial" w:cs="Arial" w:eastAsia="Arial" w:hAnsi="Arial"/>
          <w:b/>
          <w:bCs/>
          <w:color w:val="1D6FA4"/>
          <w:sz w:val="24"/>
          <w:szCs w:val="24"/>
        </w:rPr>
        <w:t xml:space="preserve">Split train/val/test (Step 3)</w:t>
      </w:r>
    </w:p>
    <w:p>
      <w:pPr>
        <w:spacing w:after="120"/>
        <w:jc w:val="both"/>
      </w:pPr>
      <w:r>
        <w:rPr>
          <w:rFonts w:ascii="Arial" w:cs="Arial" w:eastAsia="Arial" w:hAnsi="Arial"/>
          <w:color w:val="222222"/>
          <w:sz w:val="22"/>
          <w:szCs w:val="22"/>
        </w:rPr>
        <w:t xml:space="preserve">Conformément au papier, 300 points par classe sont réservés pour train+val (240 train, 60 val), le reste constitue le jeu de test. Ce split fixe garantit une évaluation représentative et comparable entre les configurations.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Région</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r>
      <w:tr>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Arkansas</w:t>
            </w:r>
          </w:p>
        </w:tc>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1 200</w:t>
            </w:r>
          </w:p>
        </w:tc>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300</w:t>
            </w:r>
          </w:p>
        </w:tc>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~8 500</w:t>
            </w:r>
          </w:p>
        </w:tc>
        <w:tc>
          <w:tcPr>
            <w:tcW w:type="dxa" w:w="17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~10 000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California</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1 440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360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~8 220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~10 020</w:t>
            </w:r>
          </w:p>
        </w:tc>
      </w:tr>
    </w:tbl>
    <w:p>
      <w:pPr>
        <w:spacing w:after="120"/>
      </w:pPr>
      <w:r>
        <w:t xml:space="preserve"/>
      </w:r>
    </w:p>
    <w:p>
      <w:r>
        <w:br w:type="page"/>
      </w:r>
    </w:p>
    <w:p>
      <w:pPr>
        <w:pStyle w:val="Heading1"/>
        <w:pBdr>
          <w:bottom w:val="single" w:color="2E75B6" w:sz="8" w:space="4"/>
        </w:pBdr>
        <w:spacing w:after="200" w:before="360"/>
      </w:pPr>
      <w:r>
        <w:rPr>
          <w:rFonts w:ascii="Arial" w:cs="Arial" w:eastAsia="Arial" w:hAnsi="Arial"/>
          <w:b/>
          <w:bCs/>
          <w:color w:val="1A3A5C"/>
          <w:sz w:val="32"/>
          <w:szCs w:val="32"/>
        </w:rPr>
        <w:t xml:space="preserve">3. Partie 1 : Modèle de classification de base (MCTNet)</w:t>
      </w:r>
    </w:p>
    <w:p>
      <w:pPr>
        <w:pStyle w:val="Heading2"/>
        <w:spacing w:after="140" w:before="280"/>
      </w:pPr>
      <w:r>
        <w:rPr>
          <w:rFonts w:ascii="Arial" w:cs="Arial" w:eastAsia="Arial" w:hAnsi="Arial"/>
          <w:b/>
          <w:bCs/>
          <w:color w:val="2E4057"/>
          <w:sz w:val="28"/>
          <w:szCs w:val="28"/>
        </w:rPr>
        <w:t xml:space="preserve">3.1 Revue de la littérature</w:t>
      </w:r>
    </w:p>
    <w:p>
      <w:pPr>
        <w:spacing w:after="120"/>
        <w:jc w:val="both"/>
      </w:pPr>
      <w:r>
        <w:rPr>
          <w:rFonts w:ascii="Arial" w:cs="Arial" w:eastAsia="Arial" w:hAnsi="Arial"/>
          <w:color w:val="222222"/>
          <w:sz w:val="22"/>
          <w:szCs w:val="22"/>
        </w:rPr>
        <w:t xml:space="preserve">Wang et al. (2024) proposent MCTNet (Multi-scale Convolutional Transformer Network), une architecture légère pour la classification des cultures pixel par pixel à partir de séries temporelles Sentinel-2. Le modèle est conçu pour répondre à trois défis principaux : (1) la présence fréquente de données manquantes due aux nuages, (2) la nécessité de capturer à la fois les patrons locaux (CNN) et les dépendances à long terme (Transformer), et (3) la contrainte de légèreté (environ 55 000 paramètres).</w:t>
      </w:r>
    </w:p>
    <w:p>
      <w:pPr>
        <w:spacing w:after="120"/>
        <w:jc w:val="both"/>
      </w:pPr>
      <w:r>
        <w:rPr>
          <w:rFonts w:ascii="Arial" w:cs="Arial" w:eastAsia="Arial" w:hAnsi="Arial"/>
          <w:color w:val="222222"/>
          <w:sz w:val="22"/>
          <w:szCs w:val="22"/>
        </w:rPr>
        <w:t xml:space="preserve">Les architectures antérieures telles que LSTM, TAE, LTAE, ResNet et GL-TAE présentaient soit des limitations dans la gestion des données manquantes, soit un nombre excessif de paramètres. MCTNet surpasse ces modèles tout en restant compact.</w:t>
      </w:r>
    </w:p>
    <w:p>
      <w:pPr>
        <w:pStyle w:val="Heading2"/>
        <w:spacing w:after="140" w:before="280"/>
      </w:pPr>
      <w:r>
        <w:rPr>
          <w:rFonts w:ascii="Arial" w:cs="Arial" w:eastAsia="Arial" w:hAnsi="Arial"/>
          <w:b/>
          <w:bCs/>
          <w:color w:val="2E4057"/>
          <w:sz w:val="28"/>
          <w:szCs w:val="28"/>
        </w:rPr>
        <w:t xml:space="preserve">3.2 Architecture MCTNet — Description détaillée</w:t>
      </w:r>
    </w:p>
    <w:p>
      <w:pPr>
        <w:spacing w:after="120"/>
        <w:jc w:val="both"/>
      </w:pPr>
      <w:r>
        <w:rPr>
          <w:rFonts w:ascii="Arial" w:cs="Arial" w:eastAsia="Arial" w:hAnsi="Arial"/>
          <w:color w:val="222222"/>
          <w:sz w:val="22"/>
          <w:szCs w:val="22"/>
        </w:rPr>
        <w:t xml:space="preserve">MCTNet traite des séries temporelles de forme [B, T, C] où B est la taille du batch, T=36 les timesteps et C=10 les bandes spectrales. Le flux de traitement est le suivant :</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Input [B, 36, 10] → Linear(10→30) → CTFusion×3 + MaxPool×2 → GlobalMaxPool → Linear(30→N_classes)</w:t>
      </w:r>
    </w:p>
    <w:p>
      <w:pPr>
        <w:pStyle w:val="Heading3"/>
        <w:spacing w:after="100" w:before="200"/>
      </w:pPr>
      <w:r>
        <w:rPr>
          <w:rFonts w:ascii="Arial" w:cs="Arial" w:eastAsia="Arial" w:hAnsi="Arial"/>
          <w:b/>
          <w:bCs/>
          <w:color w:val="1D6FA4"/>
          <w:sz w:val="24"/>
          <w:szCs w:val="24"/>
        </w:rPr>
        <w:t xml:space="preserve">Module 1 : ECA — Efficient Channel Attention</w:t>
      </w:r>
    </w:p>
    <w:p>
      <w:pPr>
        <w:spacing w:after="120"/>
        <w:jc w:val="both"/>
      </w:pPr>
      <w:r>
        <w:rPr>
          <w:rFonts w:ascii="Arial" w:cs="Arial" w:eastAsia="Arial" w:hAnsi="Arial"/>
          <w:color w:val="222222"/>
          <w:sz w:val="22"/>
          <w:szCs w:val="22"/>
        </w:rPr>
        <w:t xml:space="preserve">L'ECA (Efficient Channel Attention) est un mécanisme d'attention légère sur les canaux spectraux. Contrairement au SE-Net qui utilise deux couches fully-connected, l'ECA emploie une convolution 1D sur un voisinage local de taille k=3, ce qui réduit significativement le nombre de paramètres tout en préservant les interactions inter-canaux.</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def forward(self, x):           # x : [B, T, C]</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    y = avg_pool(x.T(1,2))      # [B, C, 1]  — compression temporelle</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    y = conv1d(y.T(1,2))        # [B, 1, C]  — attention locale inter-canaux</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    y = sigmoid(y)              # [B, 1, C]  — scores d'attention ∈ [0,1]</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    return x * y                # [B, T, C]  — pondération canal</w:t>
      </w:r>
    </w:p>
    <w:p>
      <w:pPr>
        <w:spacing w:after="120"/>
        <w:jc w:val="both"/>
      </w:pPr>
      <w:r>
        <w:rPr>
          <w:rFonts w:ascii="Arial" w:cs="Arial" w:eastAsia="Arial" w:hAnsi="Arial"/>
          <w:color w:val="222222"/>
          <w:sz w:val="22"/>
          <w:szCs w:val="22"/>
        </w:rPr>
        <w:t xml:space="preserve">L'ECA apprend ainsi quelles bandes spectrales sont les plus informatives pour discriminer les cultures, ce qui est particulièrement utile car certaines bandes (ex. B08 NIR, B11 SWIR) sont beaucoup plus discriminantes que d'autres (ex. B02 Blue) pour la végétation.</w:t>
      </w:r>
    </w:p>
    <w:p>
      <w:pPr>
        <w:pStyle w:val="Heading3"/>
        <w:spacing w:after="100" w:before="200"/>
      </w:pPr>
      <w:r>
        <w:rPr>
          <w:rFonts w:ascii="Arial" w:cs="Arial" w:eastAsia="Arial" w:hAnsi="Arial"/>
          <w:b/>
          <w:bCs/>
          <w:color w:val="1D6FA4"/>
          <w:sz w:val="24"/>
          <w:szCs w:val="24"/>
        </w:rPr>
        <w:t xml:space="preserve">Module 2 : ALPE — Attention-based Learnable Positional Encoding</w:t>
      </w:r>
    </w:p>
    <w:p>
      <w:pPr>
        <w:spacing w:after="120"/>
        <w:jc w:val="both"/>
      </w:pPr>
      <w:r>
        <w:rPr>
          <w:rFonts w:ascii="Arial" w:cs="Arial" w:eastAsia="Arial" w:hAnsi="Arial"/>
          <w:color w:val="222222"/>
          <w:sz w:val="22"/>
          <w:szCs w:val="22"/>
        </w:rPr>
        <w:t xml:space="preserve">L'ALPE est une innovation clé de MCTNet pour gérer les données manquantes. L'encodage positionnel classique (sinusoïdal absolu) est adapté pour prendre en compte le masque de données manquantes. Le mécanisme se déroule en 4 étapes :</w:t>
      </w:r>
    </w:p>
    <w:p>
      <w:pPr>
        <w:pStyle w:val="ListParagraph"/>
        <w:numPr>
          <w:ilvl w:val="0"/>
          <w:numId w:val="2"/>
        </w:numPr>
        <w:spacing w:after="80"/>
      </w:pPr>
      <w:r>
        <w:rPr>
          <w:rFonts w:ascii="Arial" w:cs="Arial" w:eastAsia="Arial" w:hAnsi="Arial"/>
          <w:color w:val="222222"/>
          <w:sz w:val="22"/>
          <w:szCs w:val="22"/>
        </w:rPr>
        <w:t xml:space="preserve">Calcul d'un encodage positionnel sinusoïdal pe de forme [T, d_model]</w:t>
      </w:r>
    </w:p>
    <w:p>
      <w:pPr>
        <w:pStyle w:val="ListParagraph"/>
        <w:numPr>
          <w:ilvl w:val="0"/>
          <w:numId w:val="2"/>
        </w:numPr>
        <w:spacing w:after="80"/>
      </w:pPr>
      <w:r>
        <w:rPr>
          <w:rFonts w:ascii="Arial" w:cs="Arial" w:eastAsia="Arial" w:hAnsi="Arial"/>
          <w:color w:val="222222"/>
          <w:sz w:val="22"/>
          <w:szCs w:val="22"/>
        </w:rPr>
        <w:t xml:space="preserve">Masquage des positions manquantes : les positions où mask=1 sont mises à zéro dans pe</w:t>
      </w:r>
    </w:p>
    <w:p>
      <w:pPr>
        <w:pStyle w:val="ListParagraph"/>
        <w:numPr>
          <w:ilvl w:val="0"/>
          <w:numId w:val="2"/>
        </w:numPr>
        <w:spacing w:after="80"/>
      </w:pPr>
      <w:r>
        <w:rPr>
          <w:rFonts w:ascii="Arial" w:cs="Arial" w:eastAsia="Arial" w:hAnsi="Arial"/>
          <w:color w:val="222222"/>
          <w:sz w:val="22"/>
          <w:szCs w:val="22"/>
        </w:rPr>
        <w:t xml:space="preserve">Application d'une convolution 1D Conv(d_model→d_model, k=3) pour propager l'information des positions voisines</w:t>
      </w:r>
    </w:p>
    <w:p>
      <w:pPr>
        <w:pStyle w:val="ListParagraph"/>
        <w:numPr>
          <w:ilvl w:val="0"/>
          <w:numId w:val="2"/>
        </w:numPr>
        <w:spacing w:after="80"/>
      </w:pPr>
      <w:r>
        <w:rPr>
          <w:rFonts w:ascii="Arial" w:cs="Arial" w:eastAsia="Arial" w:hAnsi="Arial"/>
          <w:color w:val="222222"/>
          <w:sz w:val="22"/>
          <w:szCs w:val="22"/>
        </w:rPr>
        <w:t xml:space="preserve">Pondération finale via ECA pour ajuster l'importance relative des positions</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pe_masked = pe * (1 - mask.unsqueeze(-1))   # zéroter positions manquantes</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pe_conv   = Conv1D(pe_masked)               # propager depuis voisins</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pe_final  = ECA(pe_conv)                    # pondérer par attention</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return x + pe_final                         # addition résiduelle</w:t>
      </w:r>
    </w:p>
    <w:p>
      <w:pPr>
        <w:spacing w:after="120"/>
        <w:jc w:val="both"/>
      </w:pPr>
      <w:r>
        <w:rPr>
          <w:rFonts w:ascii="Arial" w:cs="Arial" w:eastAsia="Arial" w:hAnsi="Arial"/>
          <w:color w:val="222222"/>
          <w:sz w:val="22"/>
          <w:szCs w:val="22"/>
        </w:rPr>
        <w:t xml:space="preserve">Ce mécanisme est unique en ce qu'il ne se contente pas d'ignorer les positions manquantes : il interpole implicitement l'information positionnelle depuis les timesteps voisins non manquants, ce qui améliore la robustesse aux gaps de nuages.</w:t>
      </w:r>
    </w:p>
    <w:p>
      <w:pPr>
        <w:pStyle w:val="Heading3"/>
        <w:spacing w:after="100" w:before="200"/>
      </w:pPr>
      <w:r>
        <w:rPr>
          <w:rFonts w:ascii="Arial" w:cs="Arial" w:eastAsia="Arial" w:hAnsi="Arial"/>
          <w:b/>
          <w:bCs/>
          <w:color w:val="1D6FA4"/>
          <w:sz w:val="24"/>
          <w:szCs w:val="24"/>
        </w:rPr>
        <w:t xml:space="preserve">Module 3 : TransformerSubmodule</w:t>
      </w:r>
    </w:p>
    <w:p>
      <w:pPr>
        <w:spacing w:after="120"/>
        <w:jc w:val="both"/>
      </w:pPr>
      <w:r>
        <w:rPr>
          <w:rFonts w:ascii="Arial" w:cs="Arial" w:eastAsia="Arial" w:hAnsi="Arial"/>
          <w:color w:val="222222"/>
          <w:sz w:val="22"/>
          <w:szCs w:val="22"/>
        </w:rPr>
        <w:t xml:space="preserve">Le sous-module Transformer implémente une couche standard d'auto-attention multi-têtes avec connexions résiduelles et normalisation de couche. Il est configuré avec d_model=30 et n_head=5 (6 dimensions par tête). L'ALPE n'est appliquée qu'au premier stage (s=0), les stages suivants opérant sur des représentations déjà enrichies en information positionnelle.</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x = ALPE(x, mask)                  # uniquement au stage 0</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attn_out, _ = MHA(x, x, x)         # auto-attention multi-têtes</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x = LayerNorm(x + Dropout(attn_out))</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ff_out = FFN(x)                    # FFN : Linear(30→120→30) avec ReLU</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x = LayerNorm(x + Dropout(ff_out))</w:t>
      </w:r>
    </w:p>
    <w:p>
      <w:pPr>
        <w:pStyle w:val="Heading3"/>
        <w:spacing w:after="100" w:before="200"/>
      </w:pPr>
      <w:r>
        <w:rPr>
          <w:rFonts w:ascii="Arial" w:cs="Arial" w:eastAsia="Arial" w:hAnsi="Arial"/>
          <w:b/>
          <w:bCs/>
          <w:color w:val="1D6FA4"/>
          <w:sz w:val="24"/>
          <w:szCs w:val="24"/>
        </w:rPr>
        <w:t xml:space="preserve">Module 4 : CNNSubmodule</w:t>
      </w:r>
    </w:p>
    <w:p>
      <w:pPr>
        <w:spacing w:after="120"/>
        <w:jc w:val="both"/>
      </w:pPr>
      <w:r>
        <w:rPr>
          <w:rFonts w:ascii="Arial" w:cs="Arial" w:eastAsia="Arial" w:hAnsi="Arial"/>
          <w:color w:val="222222"/>
          <w:sz w:val="22"/>
          <w:szCs w:val="22"/>
        </w:rPr>
        <w:t xml:space="preserve">Le sous-module CNN applique deux convolutions 1D successives avec normalisation par batch et une connexion résiduelle. La convolution 1D opère sur la dimension temporelle T, capturant les patrons locaux dans la série temporelle (ex. un pic de NDVI correspondant à la floraison). Le kernel_size=3 permet de regarder les 3 timesteps voisins.</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residual = x</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out = ReLU(BatchNorm(Conv1D(x.T(1,2), k=3))).T(1,2)</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out = BatchNorm(Conv1D(out.T(1,2), k=3)).T(1,2)</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return ReLU(out + residual)         # connexion résiduelle</w:t>
      </w:r>
    </w:p>
    <w:p>
      <w:pPr>
        <w:pStyle w:val="Heading3"/>
        <w:spacing w:after="100" w:before="200"/>
      </w:pPr>
      <w:r>
        <w:rPr>
          <w:rFonts w:ascii="Arial" w:cs="Arial" w:eastAsia="Arial" w:hAnsi="Arial"/>
          <w:b/>
          <w:bCs/>
          <w:color w:val="1D6FA4"/>
          <w:sz w:val="24"/>
          <w:szCs w:val="24"/>
        </w:rPr>
        <w:t xml:space="preserve">Module 5 : CTFusion — Fusion CNN-Transformer</w:t>
      </w:r>
    </w:p>
    <w:p>
      <w:pPr>
        <w:spacing w:after="120"/>
        <w:jc w:val="both"/>
      </w:pPr>
      <w:r>
        <w:rPr>
          <w:rFonts w:ascii="Arial" w:cs="Arial" w:eastAsia="Arial" w:hAnsi="Arial"/>
          <w:color w:val="222222"/>
          <w:sz w:val="22"/>
          <w:szCs w:val="22"/>
        </w:rPr>
        <w:t xml:space="preserve">CTFusion est le bloc élémentaire de MCTNet. Il fusionne en parallèle les sorties du CNN et du Transformer via une concaténation suivie d'une projection linéaire. Cette fusion bimodale permet au modèle de capturer simultanément les patrons locaux à court terme (CNN) et les dépendances à long terme à l'échelle de la saison entière (Transformer).</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cnn_out   = CNNSubmodule(x)         # [B, T, 30]</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trans_out = TransformerSubmodule(x) # [B, T, 30]</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fused     = Concat([cnn_out, trans_out], dim=-1)  # [B, T, 60]</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return Linear(60 → 30)(fused)        # [B, T, 30]  — fusion finale</w:t>
      </w:r>
    </w:p>
    <w:p>
      <w:pPr>
        <w:pStyle w:val="Heading3"/>
        <w:spacing w:after="100" w:before="200"/>
      </w:pPr>
      <w:r>
        <w:rPr>
          <w:rFonts w:ascii="Arial" w:cs="Arial" w:eastAsia="Arial" w:hAnsi="Arial"/>
          <w:b/>
          <w:bCs/>
          <w:color w:val="1D6FA4"/>
          <w:sz w:val="24"/>
          <w:szCs w:val="24"/>
        </w:rPr>
        <w:t xml:space="preserve">Module 6 : MCTNet — Architecture complète</w:t>
      </w:r>
    </w:p>
    <w:p>
      <w:pPr>
        <w:spacing w:after="120"/>
        <w:jc w:val="both"/>
      </w:pPr>
      <w:r>
        <w:rPr>
          <w:rFonts w:ascii="Arial" w:cs="Arial" w:eastAsia="Arial" w:hAnsi="Arial"/>
          <w:color w:val="222222"/>
          <w:sz w:val="22"/>
          <w:szCs w:val="22"/>
        </w:rPr>
        <w:t xml:space="preserve">MCTNet enchaîne 3 stages CTFusion avec MaxPooling temporel entre chaque stage, réduisant progressivement la dimension temporelle : T=36 → T=18 → T=9. Après le dernier stage, un Global Max Pooling sur la dimension temporelle extrait un vecteur de représentation global [B, 30], qui est ensuite projeté vers les N classes.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Étape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Opération</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 d'entrée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 de sortie</w:t>
            </w:r>
          </w:p>
        </w:tc>
        <w:tc>
          <w:tcPr>
            <w:tcW w:type="dxa" w:w="1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Paramètres</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Input</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 36, 10]</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 36, 10]</w:t>
            </w:r>
          </w:p>
        </w:tc>
        <w:tc>
          <w:tcPr>
            <w:tcW w:type="dxa" w:w="10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Embedding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Linear(10→30)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[B, 36, 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[B, 36, 30]</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330</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Stage 1</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CTFusion + ALPE</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 36, 30]</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 36, 30]</w:t>
            </w:r>
          </w:p>
        </w:tc>
        <w:tc>
          <w:tcPr>
            <w:tcW w:type="dxa" w:w="10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~18 000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MaxPool 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MaxPool(k=2, s=2)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[B, 36, 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[B, 18, 30]</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Stage 2</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CTFusion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 18, 30]</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 18, 30]</w:t>
            </w:r>
          </w:p>
        </w:tc>
        <w:tc>
          <w:tcPr>
            <w:tcW w:type="dxa" w:w="10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~18 000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MaxPool 2</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MaxPool(k=2, s=2)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[B, 18, 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[B, 9, 30]</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Stage 3</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CTFusion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 9, 30]</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 9, 30]</w:t>
            </w:r>
          </w:p>
        </w:tc>
        <w:tc>
          <w:tcPr>
            <w:tcW w:type="dxa" w:w="10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~18 000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GlobalMaxPool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max(dim=T)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[B, 9, 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[B, 30]</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0</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Classifier</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Linear(30→N)</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 30]</w:t>
            </w:r>
          </w:p>
        </w:tc>
        <w:tc>
          <w:tcPr>
            <w:tcW w:type="dxa" w:w="2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 N]</w:t>
            </w:r>
          </w:p>
        </w:tc>
        <w:tc>
          <w:tcPr>
            <w:tcW w:type="dxa" w:w="10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150 (ARK) / 180 (CAL)</w:t>
            </w:r>
          </w:p>
        </w:tc>
      </w:tr>
    </w:tbl>
    <w:p>
      <w:pPr>
        <w:spacing w:after="120"/>
      </w:pPr>
      <w:r>
        <w:t xml:space="preserve"/>
      </w:r>
    </w:p>
    <w:p>
      <w:pPr>
        <w:spacing w:after="120"/>
        <w:jc w:val="both"/>
      </w:pPr>
      <w:r>
        <w:rPr>
          <w:rFonts w:ascii="Arial" w:cs="Arial" w:eastAsia="Arial" w:hAnsi="Arial"/>
          <w:color w:val="222222"/>
          <w:sz w:val="22"/>
          <w:szCs w:val="22"/>
        </w:rPr>
        <w:t xml:space="preserve">Le nombre total de paramètres est d'environ 55 059 pour Arkansas (5 classes) et 55 089 pour California (6 classes), ce qui correspond à l'ordre de grandeur reporté dans le papier (Table 2).</w:t>
      </w:r>
    </w:p>
    <w:p>
      <w:pPr>
        <w:pStyle w:val="Heading2"/>
        <w:spacing w:after="140" w:before="280"/>
      </w:pPr>
      <w:r>
        <w:rPr>
          <w:rFonts w:ascii="Arial" w:cs="Arial" w:eastAsia="Arial" w:hAnsi="Arial"/>
          <w:b/>
          <w:bCs/>
          <w:color w:val="2E4057"/>
          <w:sz w:val="28"/>
          <w:szCs w:val="28"/>
        </w:rPr>
        <w:t xml:space="preserve">3.3 Implémentation et entraînement</w:t>
      </w:r>
    </w:p>
    <w:p>
      <w:pPr>
        <w:spacing w:after="120"/>
        <w:jc w:val="both"/>
      </w:pPr>
      <w:r>
        <w:rPr>
          <w:rFonts w:ascii="Arial" w:cs="Arial" w:eastAsia="Arial" w:hAnsi="Arial"/>
          <w:color w:val="222222"/>
          <w:sz w:val="22"/>
          <w:szCs w:val="22"/>
        </w:rPr>
        <w:t xml:space="preserve">L'entraînement suit les hyperparamètres du papier (Table 3) : optimiseur Adam avec lr=0.001, batch_size=32, epochs=200 avec early stopping (patience=40 epochs sans amélioration de la val_loss). La fonction de perte est la CrossEntropyLoss standard.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Hyperparamètre</w:t>
            </w:r>
          </w:p>
        </w:tc>
        <w:tc>
          <w:tcPr>
            <w:tcW w:type="dxa" w:w="4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n_stage</w:t>
            </w:r>
          </w:p>
        </w:tc>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3</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n_head</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5</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kernel_size</w:t>
            </w:r>
          </w:p>
        </w:tc>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3</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d_model</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30</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Dropout</w:t>
            </w:r>
          </w:p>
        </w:tc>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0.1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Optimizer</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Adam</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Learning rate</w:t>
            </w:r>
          </w:p>
        </w:tc>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0.001</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Batch size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32</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Epochs max</w:t>
            </w:r>
          </w:p>
        </w:tc>
        <w:tc>
          <w:tcPr>
            <w:tcW w:type="dxa" w:w="4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200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Early stopping</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patience = 40</w:t>
            </w:r>
          </w:p>
        </w:tc>
      </w:tr>
    </w:tbl>
    <w:p>
      <w:pPr>
        <w:spacing w:after="120"/>
      </w:pPr>
      <w:r>
        <w:t xml:space="preserve"/>
      </w:r>
    </w:p>
    <w:p>
      <w:pPr>
        <w:pStyle w:val="Heading2"/>
        <w:spacing w:after="140" w:before="280"/>
      </w:pPr>
      <w:r>
        <w:rPr>
          <w:rFonts w:ascii="Arial" w:cs="Arial" w:eastAsia="Arial" w:hAnsi="Arial"/>
          <w:b/>
          <w:bCs/>
          <w:color w:val="2E4057"/>
          <w:sz w:val="28"/>
          <w:szCs w:val="28"/>
        </w:rPr>
        <w:t xml:space="preserve">3.4 Résultats — Arkansas</w:t>
      </w:r>
    </w:p>
    <w:p>
      <w:pPr>
        <w:spacing w:after="120"/>
        <w:jc w:val="both"/>
      </w:pPr>
      <w:r>
        <w:rPr>
          <w:rFonts w:ascii="Arial" w:cs="Arial" w:eastAsia="Arial" w:hAnsi="Arial"/>
          <w:color w:val="222222"/>
          <w:sz w:val="22"/>
          <w:szCs w:val="22"/>
        </w:rPr>
        <w:t xml:space="preserve">Les métriques cibles du papier (Table 4) pour Arkansas sont : OA=0.968, Kappa=0.951, F1=0.933.</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Tableau des métriques globales Arkansas ]</w:t>
      </w:r>
    </w:p>
    <w:p>
      <w:pPr>
        <w:spacing w:after="80"/>
        <w:ind w:left="360"/>
      </w:pPr>
      <w:r>
        <w:rPr>
          <w:rFonts w:ascii="Arial" w:cs="Arial" w:eastAsia="Arial" w:hAnsi="Arial"/>
          <w:i/>
          <w:iCs/>
          <w:color w:val="B85C00"/>
          <w:sz w:val="22"/>
          <w:szCs w:val="22"/>
        </w:rPr>
        <w:t xml:space="preserve">OA (Overall Accuracy) : ____________________</w:t>
      </w:r>
    </w:p>
    <w:p>
      <w:pPr>
        <w:spacing w:after="80"/>
        <w:ind w:left="360"/>
      </w:pPr>
      <w:r>
        <w:rPr>
          <w:rFonts w:ascii="Arial" w:cs="Arial" w:eastAsia="Arial" w:hAnsi="Arial"/>
          <w:i/>
          <w:iCs/>
          <w:color w:val="B85C00"/>
          <w:sz w:val="22"/>
          <w:szCs w:val="22"/>
        </w:rPr>
        <w:t xml:space="preserve">Kappa : ____________________</w:t>
      </w:r>
    </w:p>
    <w:p>
      <w:pPr>
        <w:spacing w:after="80"/>
        <w:ind w:left="360"/>
      </w:pPr>
      <w:r>
        <w:rPr>
          <w:rFonts w:ascii="Arial" w:cs="Arial" w:eastAsia="Arial" w:hAnsi="Arial"/>
          <w:i/>
          <w:iCs/>
          <w:color w:val="B85C00"/>
          <w:sz w:val="22"/>
          <w:szCs w:val="22"/>
        </w:rPr>
        <w:t xml:space="preserve">F1 macro : ____________________</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Matrice de confusion Arkansas (fig_confusion_matrix.png) ]</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Courbes d'entraînement loss/accuracy (fig_training.png) ]</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Comparaison avec le papier Table 4 (fig_results_vs_paper.png) ]</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Métriques par classe (fig_per_class_metrics.png) ]</w:t>
      </w:r>
    </w:p>
    <w:p>
      <w:pPr>
        <w:spacing w:after="120"/>
      </w:pPr>
      <w:r>
        <w:t xml:space="preserve"/>
      </w:r>
    </w:p>
    <w:p>
      <w:pPr>
        <w:pStyle w:val="Heading2"/>
        <w:spacing w:after="140" w:before="280"/>
      </w:pPr>
      <w:r>
        <w:rPr>
          <w:rFonts w:ascii="Arial" w:cs="Arial" w:eastAsia="Arial" w:hAnsi="Arial"/>
          <w:b/>
          <w:bCs/>
          <w:color w:val="2E4057"/>
          <w:sz w:val="28"/>
          <w:szCs w:val="28"/>
        </w:rPr>
        <w:t xml:space="preserve">3.5 Résultats — California</w:t>
      </w:r>
    </w:p>
    <w:p>
      <w:pPr>
        <w:spacing w:after="120"/>
        <w:jc w:val="both"/>
      </w:pPr>
      <w:r>
        <w:rPr>
          <w:rFonts w:ascii="Arial" w:cs="Arial" w:eastAsia="Arial" w:hAnsi="Arial"/>
          <w:color w:val="222222"/>
          <w:sz w:val="22"/>
          <w:szCs w:val="22"/>
        </w:rPr>
        <w:t xml:space="preserve">Les métriques cibles du papier (Table 5) pour California sont : OA=0.852, Kappa=0.806, F1=0.829.</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Tableau des métriques globales California ]</w:t>
      </w:r>
    </w:p>
    <w:p>
      <w:pPr>
        <w:spacing w:after="80"/>
        <w:ind w:left="360"/>
      </w:pPr>
      <w:r>
        <w:rPr>
          <w:rFonts w:ascii="Arial" w:cs="Arial" w:eastAsia="Arial" w:hAnsi="Arial"/>
          <w:i/>
          <w:iCs/>
          <w:color w:val="B85C00"/>
          <w:sz w:val="22"/>
          <w:szCs w:val="22"/>
        </w:rPr>
        <w:t xml:space="preserve">OA (Overall Accuracy) : ____________________</w:t>
      </w:r>
    </w:p>
    <w:p>
      <w:pPr>
        <w:spacing w:after="80"/>
        <w:ind w:left="360"/>
      </w:pPr>
      <w:r>
        <w:rPr>
          <w:rFonts w:ascii="Arial" w:cs="Arial" w:eastAsia="Arial" w:hAnsi="Arial"/>
          <w:i/>
          <w:iCs/>
          <w:color w:val="B85C00"/>
          <w:sz w:val="22"/>
          <w:szCs w:val="22"/>
        </w:rPr>
        <w:t xml:space="preserve">Kappa : ____________________</w:t>
      </w:r>
    </w:p>
    <w:p>
      <w:pPr>
        <w:spacing w:after="80"/>
        <w:ind w:left="360"/>
      </w:pPr>
      <w:r>
        <w:rPr>
          <w:rFonts w:ascii="Arial" w:cs="Arial" w:eastAsia="Arial" w:hAnsi="Arial"/>
          <w:i/>
          <w:iCs/>
          <w:color w:val="B85C00"/>
          <w:sz w:val="22"/>
          <w:szCs w:val="22"/>
        </w:rPr>
        <w:t xml:space="preserve">F1 macro : ____________________</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Matrice de confusion California (fig_confusion_matrix_cal.png) ]</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Courbes d'entraînement California (fig_training_cal.png) ]</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Comparaison avec le papier Table 5 (fig_results_vs_paper_cal.png) ]</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Métriques par classe California (fig_per_class_metrics_cal.png) ]</w:t>
      </w:r>
    </w:p>
    <w:p>
      <w:pPr>
        <w:spacing w:after="120"/>
      </w:pPr>
      <w:r>
        <w:t xml:space="preserve"/>
      </w:r>
    </w:p>
    <w:p>
      <w:r>
        <w:br w:type="page"/>
      </w:r>
    </w:p>
    <w:p>
      <w:pPr>
        <w:pStyle w:val="Heading1"/>
        <w:pBdr>
          <w:bottom w:val="single" w:color="2E75B6" w:sz="8" w:space="4"/>
        </w:pBdr>
        <w:spacing w:after="200" w:before="360"/>
      </w:pPr>
      <w:r>
        <w:rPr>
          <w:rFonts w:ascii="Arial" w:cs="Arial" w:eastAsia="Arial" w:hAnsi="Arial"/>
          <w:b/>
          <w:bCs/>
          <w:color w:val="1A3A5C"/>
          <w:sz w:val="32"/>
          <w:szCs w:val="32"/>
        </w:rPr>
        <w:t xml:space="preserve">4. Partie 2 : Intégration des covariables environnementales</w:t>
      </w:r>
    </w:p>
    <w:p>
      <w:pPr>
        <w:spacing w:after="120"/>
        <w:jc w:val="both"/>
      </w:pPr>
      <w:r>
        <w:rPr>
          <w:rFonts w:ascii="Arial" w:cs="Arial" w:eastAsia="Arial" w:hAnsi="Arial"/>
          <w:color w:val="222222"/>
          <w:sz w:val="22"/>
          <w:szCs w:val="22"/>
        </w:rPr>
        <w:t xml:space="preserve">La Partie 2 vise à évaluer si l'ajout de variables environnementales statiques (climat, sol, topographie) permet d'améliorer la précision de classification des cultures par rapport au modèle MCTNet de base.</w:t>
      </w:r>
    </w:p>
    <w:p>
      <w:pPr>
        <w:pStyle w:val="Heading2"/>
        <w:spacing w:after="140" w:before="280"/>
      </w:pPr>
      <w:r>
        <w:rPr>
          <w:rFonts w:ascii="Arial" w:cs="Arial" w:eastAsia="Arial" w:hAnsi="Arial"/>
          <w:b/>
          <w:bCs/>
          <w:color w:val="2E4057"/>
          <w:sz w:val="28"/>
          <w:szCs w:val="28"/>
        </w:rPr>
        <w:t xml:space="preserve">4.1 Covariables climatiques — ERA5 DAILY</w:t>
      </w:r>
    </w:p>
    <w:p>
      <w:pPr>
        <w:spacing w:after="120"/>
        <w:jc w:val="both"/>
      </w:pPr>
      <w:r>
        <w:rPr>
          <w:rFonts w:ascii="Arial" w:cs="Arial" w:eastAsia="Arial" w:hAnsi="Arial"/>
          <w:color w:val="222222"/>
          <w:sz w:val="22"/>
          <w:szCs w:val="22"/>
        </w:rPr>
        <w:t xml:space="preserve">Source : collection ECMWF/ERA5/DAILY dans GEE. ERA5 est la cinquième génération de réanalyse atmosphérique mondiale du CEPMMT (Copernicus). Les données couvrent l'année 2021 à une résolution native de ~27.8 km (0.25°).</w:t>
      </w:r>
    </w:p>
    <w:p>
      <w:pPr>
        <w:pStyle w:val="Heading3"/>
        <w:spacing w:after="100" w:before="200"/>
      </w:pPr>
      <w:r>
        <w:rPr>
          <w:rFonts w:ascii="Arial" w:cs="Arial" w:eastAsia="Arial" w:hAnsi="Arial"/>
          <w:b/>
          <w:bCs/>
          <w:color w:val="1D6FA4"/>
          <w:sz w:val="24"/>
          <w:szCs w:val="24"/>
        </w:rPr>
        <w:t xml:space="preserve">Justification du choix des 3 variables ERA5 parmi 7 disponibles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 ERA5</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Unité</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Agrégation</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 du choix</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mean_2m_air_temperature → temp_mean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°C (K-273.15)</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Moyenne annuelle</w:t>
            </w:r>
          </w:p>
        </w:tc>
        <w:tc>
          <w:tcPr>
            <w:tcW w:type="dxa" w:w="3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Les degrés-jours de croissance (GDD) dépendent de la température. Maïs, coton, riz ont des seuils thermiques distincts → forte discrimination inter-classes.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total_precipitation → precip_total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mm (×1000)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Somme annuelle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Le riz inondé nécessite beaucoup d'eau, le coton est tolérant à la sécheresse. La pluviométrie annuelle sépare nettement ces cultures.</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dewpoint_2m_temperature → dewpoint_mean</w:t>
            </w:r>
          </w:p>
        </w:tc>
        <w:tc>
          <w:tcPr>
            <w:tcW w:type="dxa" w:w="12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°C (K-273.15)</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Moyenne annuelle</w:t>
            </w:r>
          </w:p>
        </w:tc>
        <w:tc>
          <w:tcPr>
            <w:tcW w:type="dxa" w:w="3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Proxy de l'humidité relative et de l'ET. Complémentaire à temp_mean sans être colinéaire avec precip_total.</w:t>
            </w:r>
          </w:p>
        </w:tc>
      </w:tr>
    </w:tbl>
    <w:p>
      <w:pPr>
        <w:spacing w:after="120"/>
      </w:pPr>
      <w:r>
        <w:t xml:space="preserve"/>
      </w:r>
    </w:p>
    <w:p>
      <w:pPr>
        <w:spacing w:after="120"/>
        <w:jc w:val="both"/>
      </w:pPr>
      <w:r>
        <w:rPr>
          <w:rFonts w:ascii="Arial" w:cs="Arial" w:eastAsia="Arial" w:hAnsi="Arial"/>
          <w:color w:val="222222"/>
          <w:sz w:val="22"/>
          <w:szCs w:val="22"/>
        </w:rPr>
        <w:t xml:space="preserve">Variables ERA7 non retenues : minimum/maximum_2m_air_temperature (redondant avec mean), surface_pressure et mean_sea_level_pressure (peu discriminants en plaine alluviale), u/v_component_of_wind_10m (impact indirect, résolution 28 km insuffisante).</w:t>
      </w:r>
    </w:p>
    <w:p>
      <w:pPr>
        <w:pStyle w:val="Heading2"/>
        <w:spacing w:after="140" w:before="280"/>
      </w:pPr>
      <w:r>
        <w:rPr>
          <w:rFonts w:ascii="Arial" w:cs="Arial" w:eastAsia="Arial" w:hAnsi="Arial"/>
          <w:b/>
          <w:bCs/>
          <w:color w:val="2E4057"/>
          <w:sz w:val="28"/>
          <w:szCs w:val="28"/>
        </w:rPr>
        <w:t xml:space="preserve">4.2 Covariables pédologiques — OpenLandMap SoilGrids</w:t>
      </w:r>
    </w:p>
    <w:p>
      <w:pPr>
        <w:spacing w:after="120"/>
        <w:jc w:val="both"/>
      </w:pPr>
      <w:r>
        <w:rPr>
          <w:rFonts w:ascii="Arial" w:cs="Arial" w:eastAsia="Arial" w:hAnsi="Arial"/>
          <w:color w:val="222222"/>
          <w:sz w:val="22"/>
          <w:szCs w:val="22"/>
        </w:rPr>
        <w:t xml:space="preserve">Source : collection OpenLandMap/SOL/* dans GEE (SoilGrids 250m). Toutes les variables sont extraites à la profondeur 0-5 cm (bande b0).</w:t>
      </w:r>
    </w:p>
    <w:tbl>
      <w:tblPr>
        <w:tblW w:type="dxa" w:w="1046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GEE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Unité brute</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Conversion</w:t>
            </w:r>
          </w:p>
        </w:tc>
        <w:tc>
          <w:tcPr>
            <w:tcW w:type="dxa" w:w="246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soil_ph</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SOL_PH-H2O_USDA-4C1A2A_M/v02</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pH × 10</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÷10 → pH réel</w:t>
            </w:r>
          </w:p>
        </w:tc>
        <w:tc>
          <w:tcPr>
            <w:tcW w:type="dxa" w:w="2462"/>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Le riz préfère pH 5.5-6.5, le coton pH 6-7.5 → variable discriminante.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soil_oc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SOL_ORGANIC-CARBON_USDA-6A1C_M/v02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dg/kg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÷10 → g/kg</w:t>
            </w:r>
          </w:p>
        </w:tc>
        <w:tc>
          <w:tcPr>
            <w:tcW w:type="dxa" w:w="246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Fertilité et rétention d'eau. Sols alluviaux rizicoles ont OC plus élevé.</w:t>
            </w:r>
          </w:p>
        </w:tc>
      </w:tr>
      <w:tr>
        <w:tc>
          <w:tcPr>
            <w:tcW w:type="dxa" w:w="1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soil_texture</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SOL_TEXTURE-CLASS_USDA-TT_M/v02</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Classe USDA 1-12</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Variable catégorielle</w:t>
            </w:r>
          </w:p>
        </w:tc>
        <w:tc>
          <w:tcPr>
            <w:tcW w:type="dxa" w:w="2462"/>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Argile imperméable (cls 12) → rizières inondables. Limon sableux (cls 7) → maïs/soja.</w:t>
            </w:r>
          </w:p>
        </w:tc>
      </w:tr>
    </w:tbl>
    <w:p>
      <w:pPr>
        <w:spacing w:after="120"/>
      </w:pPr>
      <w:r>
        <w:t xml:space="preserve"/>
      </w:r>
    </w:p>
    <w:p>
      <w:pPr>
        <w:pStyle w:val="Heading2"/>
        <w:spacing w:after="140" w:before="280"/>
      </w:pPr>
      <w:r>
        <w:rPr>
          <w:rFonts w:ascii="Arial" w:cs="Arial" w:eastAsia="Arial" w:hAnsi="Arial"/>
          <w:b/>
          <w:bCs/>
          <w:color w:val="2E4057"/>
          <w:sz w:val="28"/>
          <w:szCs w:val="28"/>
        </w:rPr>
        <w:t xml:space="preserve">4.3 Covariables topographiques — ETOPO1 + ALOS ERGo</w:t>
      </w:r>
    </w:p>
    <w:tbl>
      <w:tblPr>
        <w:tblW w:type="dxa" w:w="1046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GEE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Résolution</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Bande</w:t>
            </w:r>
          </w:p>
        </w:tc>
        <w:tc>
          <w:tcPr>
            <w:tcW w:type="dxa" w:w="286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elevation</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NOAA/NGDC/ETOPO1</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~1.85 km</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bedrock (m)</w:t>
            </w:r>
          </w:p>
        </w:tc>
        <w:tc>
          <w:tcPr>
            <w:tcW w:type="dxa" w:w="2862"/>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Segmente la plaine alluviale basse (&lt;100m, cultures irriguées) des plateaux plus élevés.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landforms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CSP/ERGo/1_0/Global/ALOS_landforms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90m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constant (1-11)</w:t>
            </w:r>
          </w:p>
        </w:tc>
        <w:tc>
          <w:tcPr>
            <w:tcW w:type="dxa" w:w="286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Classes 5 (plaine) et 11 (fond plat inondable) = rizières. Complémentaire à l'élévation continue.</w:t>
            </w:r>
          </w:p>
        </w:tc>
      </w:tr>
    </w:tbl>
    <w:p>
      <w:pPr>
        <w:spacing w:after="120"/>
      </w:pPr>
      <w:r>
        <w:t xml:space="preserve"/>
      </w:r>
    </w:p>
    <w:p>
      <w:pPr>
        <w:spacing w:after="120"/>
        <w:jc w:val="both"/>
      </w:pPr>
      <w:r>
        <w:rPr>
          <w:rFonts w:ascii="Arial" w:cs="Arial" w:eastAsia="Arial" w:hAnsi="Arial"/>
          <w:color w:val="222222"/>
          <w:sz w:val="22"/>
          <w:szCs w:val="22"/>
        </w:rPr>
        <w:t xml:space="preserve">Légende des classes landforms ALOS (sélection pertinente) : 5 = Flat/Plain (cultures en plaine), 11 = Bottom flat (plaine alluviale inondable = rizières), 7 = Valley (couloirs hydrographiques), 2 = Upper slope (coteaux — coton).</w:t>
      </w:r>
    </w:p>
    <w:p>
      <w:pPr>
        <w:pStyle w:val="Heading2"/>
        <w:spacing w:after="140" w:before="280"/>
      </w:pPr>
      <w:r>
        <w:rPr>
          <w:rFonts w:ascii="Arial" w:cs="Arial" w:eastAsia="Arial" w:hAnsi="Arial"/>
          <w:b/>
          <w:bCs/>
          <w:color w:val="2E4057"/>
          <w:sz w:val="28"/>
          <w:szCs w:val="28"/>
        </w:rPr>
        <w:t xml:space="preserve">4.4 Analyse exploratoire des covariables (EDA — Step 2)</w:t>
      </w:r>
    </w:p>
    <w:p>
      <w:pPr>
        <w:spacing w:after="120"/>
        <w:jc w:val="both"/>
      </w:pPr>
      <w:r>
        <w:rPr>
          <w:rFonts w:ascii="Arial" w:cs="Arial" w:eastAsia="Arial" w:hAnsi="Arial"/>
          <w:color w:val="222222"/>
          <w:sz w:val="22"/>
          <w:szCs w:val="22"/>
        </w:rPr>
        <w:t xml:space="preserve">L'EDA couvre 5 types d'analyses pour chacune des 8 covariables.</w:t>
      </w:r>
    </w:p>
    <w:p>
      <w:pPr>
        <w:pStyle w:val="Heading3"/>
        <w:spacing w:after="100" w:before="200"/>
      </w:pPr>
      <w:r>
        <w:rPr>
          <w:rFonts w:ascii="Arial" w:cs="Arial" w:eastAsia="Arial" w:hAnsi="Arial"/>
          <w:b/>
          <w:bCs/>
          <w:color w:val="1D6FA4"/>
          <w:sz w:val="24"/>
          <w:szCs w:val="24"/>
        </w:rPr>
        <w:t xml:space="preserve">4.4.1 Distributions par classe (histogrammes)</w:t>
      </w:r>
    </w:p>
    <w:p>
      <w:pPr>
        <w:spacing w:after="120"/>
        <w:jc w:val="both"/>
      </w:pPr>
      <w:r>
        <w:rPr>
          <w:rFonts w:ascii="Arial" w:cs="Arial" w:eastAsia="Arial" w:hAnsi="Arial"/>
          <w:color w:val="222222"/>
          <w:sz w:val="22"/>
          <w:szCs w:val="22"/>
        </w:rPr>
        <w:t xml:space="preserve">Pour chaque covariable, des histogrammes de densité sont tracés par classe. Une covariable discriminante présente des distributions clairement séparées entre les classes. L'ANOVA one-way est calculée pour tester la significativité statistique des différences inter-classes (*** p&lt;0.001, ** p&lt;0.01, * p&lt;0.05, ns non significatif).</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Distributions covariables par classe (fig_cov_distributions.png) ]</w:t>
      </w:r>
    </w:p>
    <w:p>
      <w:pPr>
        <w:spacing w:after="120"/>
      </w:pPr>
      <w:r>
        <w:t xml:space="preserve"/>
      </w:r>
    </w:p>
    <w:p>
      <w:pPr>
        <w:pStyle w:val="Heading3"/>
        <w:spacing w:after="100" w:before="200"/>
      </w:pPr>
      <w:r>
        <w:rPr>
          <w:rFonts w:ascii="Arial" w:cs="Arial" w:eastAsia="Arial" w:hAnsi="Arial"/>
          <w:b/>
          <w:bCs/>
          <w:color w:val="1D6FA4"/>
          <w:sz w:val="24"/>
          <w:szCs w:val="24"/>
        </w:rPr>
        <w:t xml:space="preserve">4.4.2 Boxplots par classe</w:t>
      </w:r>
    </w:p>
    <w:p>
      <w:pPr>
        <w:spacing w:after="120"/>
        <w:jc w:val="both"/>
      </w:pPr>
      <w:r>
        <w:rPr>
          <w:rFonts w:ascii="Arial" w:cs="Arial" w:eastAsia="Arial" w:hAnsi="Arial"/>
          <w:color w:val="222222"/>
          <w:sz w:val="22"/>
          <w:szCs w:val="22"/>
        </w:rPr>
        <w:t xml:space="preserve">Les boxplots permettent de visualiser la médiane, l'écart interquartile et les valeurs aberrantes pour chaque covariable × classe. La valeur ANOVA est reportée dans chaque panneau pour indiquer si les différences inter-classes sont statistiquement significatives.</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Boxplots covariables × classe (fig_cov_boxplots.png) ]</w:t>
      </w:r>
    </w:p>
    <w:p>
      <w:pPr>
        <w:spacing w:after="120"/>
      </w:pPr>
      <w:r>
        <w:t xml:space="preserve"/>
      </w:r>
    </w:p>
    <w:p>
      <w:pPr>
        <w:pStyle w:val="Heading3"/>
        <w:spacing w:after="100" w:before="200"/>
      </w:pPr>
      <w:r>
        <w:rPr>
          <w:rFonts w:ascii="Arial" w:cs="Arial" w:eastAsia="Arial" w:hAnsi="Arial"/>
          <w:b/>
          <w:bCs/>
          <w:color w:val="1D6FA4"/>
          <w:sz w:val="24"/>
          <w:szCs w:val="24"/>
        </w:rPr>
        <w:t xml:space="preserve">4.4.3 Matrice de corrélation</w:t>
      </w:r>
    </w:p>
    <w:p>
      <w:pPr>
        <w:spacing w:after="120"/>
        <w:jc w:val="both"/>
      </w:pPr>
      <w:r>
        <w:rPr>
          <w:rFonts w:ascii="Arial" w:cs="Arial" w:eastAsia="Arial" w:hAnsi="Arial"/>
          <w:color w:val="222222"/>
          <w:sz w:val="22"/>
          <w:szCs w:val="22"/>
        </w:rPr>
        <w:t xml:space="preserve">La matrice de corrélation de Pearson entre les 8 covariables permet d'identifier les redondances potentielles. Une forte corrélation entre deux covariables (|r| &gt; 0.7) signifie qu'elles apportent une information similaire au modèle. Les groupes Climat, Sol et Topo sont surlignés.</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Matrice de corrélation covariables (fig_cov_correlation.png) ]</w:t>
      </w:r>
    </w:p>
    <w:p>
      <w:pPr>
        <w:spacing w:after="120"/>
      </w:pPr>
      <w:r>
        <w:t xml:space="preserve"/>
      </w:r>
    </w:p>
    <w:p>
      <w:pPr>
        <w:pStyle w:val="Heading3"/>
        <w:spacing w:after="100" w:before="200"/>
      </w:pPr>
      <w:r>
        <w:rPr>
          <w:rFonts w:ascii="Arial" w:cs="Arial" w:eastAsia="Arial" w:hAnsi="Arial"/>
          <w:b/>
          <w:bCs/>
          <w:color w:val="1D6FA4"/>
          <w:sz w:val="24"/>
          <w:szCs w:val="24"/>
        </w:rPr>
        <w:t xml:space="preserve">4.4.4 ACP 2D</w:t>
      </w:r>
    </w:p>
    <w:p>
      <w:pPr>
        <w:spacing w:after="120"/>
        <w:jc w:val="both"/>
      </w:pPr>
      <w:r>
        <w:rPr>
          <w:rFonts w:ascii="Arial" w:cs="Arial" w:eastAsia="Arial" w:hAnsi="Arial"/>
          <w:color w:val="222222"/>
          <w:sz w:val="22"/>
          <w:szCs w:val="22"/>
        </w:rPr>
        <w:t xml:space="preserve">Une Analyse en Composantes Principales (ACP) réduit les 8 covariables normalisées à 2 dimensions pour visualiser la séparabilité des classes dans l'espace des covariables. Un nuage de points bien séparé par classe indique un pouvoir discriminant élevé des covariables.</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ACP 2D des covariables colorée par classe (fig_cov_pca.png) ]</w:t>
      </w:r>
    </w:p>
    <w:p>
      <w:pPr>
        <w:spacing w:after="120"/>
      </w:pPr>
      <w:r>
        <w:t xml:space="preserve"/>
      </w:r>
    </w:p>
    <w:p>
      <w:pPr>
        <w:pStyle w:val="Heading3"/>
        <w:spacing w:after="100" w:before="200"/>
      </w:pPr>
      <w:r>
        <w:rPr>
          <w:rFonts w:ascii="Arial" w:cs="Arial" w:eastAsia="Arial" w:hAnsi="Arial"/>
          <w:b/>
          <w:bCs/>
          <w:color w:val="1D6FA4"/>
          <w:sz w:val="24"/>
          <w:szCs w:val="24"/>
        </w:rPr>
        <w:t xml:space="preserve">4.4.5 Importance Random Forest</w:t>
      </w:r>
    </w:p>
    <w:p>
      <w:pPr>
        <w:spacing w:after="120"/>
        <w:jc w:val="both"/>
      </w:pPr>
      <w:r>
        <w:rPr>
          <w:rFonts w:ascii="Arial" w:cs="Arial" w:eastAsia="Arial" w:hAnsi="Arial"/>
          <w:color w:val="222222"/>
          <w:sz w:val="22"/>
          <w:szCs w:val="22"/>
        </w:rPr>
        <w:t xml:space="preserve">Un Random Forest (300 arbres) est entraîné uniquement sur les 8 covariables normalisées. L'importance Gini de chaque covariable est calculée et classée. L'OA obtenue avec les covariables seules (sans Sentinel-2) est reportée pour mesurer leur pouvoir discriminant individuel.</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Importance Random Forest des covariables (fig_cov_importance.png) ]</w:t>
      </w:r>
    </w:p>
    <w:p>
      <w:pPr>
        <w:spacing w:after="80"/>
        <w:ind w:left="360"/>
      </w:pPr>
      <w:r>
        <w:rPr>
          <w:rFonts w:ascii="Arial" w:cs="Arial" w:eastAsia="Arial" w:hAnsi="Arial"/>
          <w:i/>
          <w:iCs/>
          <w:color w:val="B85C00"/>
          <w:sz w:val="22"/>
          <w:szCs w:val="22"/>
        </w:rPr>
        <w:t xml:space="preserve">RF OA avec covariables seules : ____________________</w:t>
      </w:r>
    </w:p>
    <w:p>
      <w:pPr>
        <w:spacing w:after="120"/>
      </w:pPr>
      <w:r>
        <w:t xml:space="preserve"/>
      </w:r>
    </w:p>
    <w:p>
      <w:pPr>
        <w:pStyle w:val="Heading2"/>
        <w:spacing w:after="140" w:before="280"/>
      </w:pPr>
      <w:r>
        <w:rPr>
          <w:rFonts w:ascii="Arial" w:cs="Arial" w:eastAsia="Arial" w:hAnsi="Arial"/>
          <w:b/>
          <w:bCs/>
          <w:color w:val="2E4057"/>
          <w:sz w:val="28"/>
          <w:szCs w:val="28"/>
        </w:rPr>
        <w:t xml:space="preserve">4.5 Architecture MCTNetCov — Late Fusion</w:t>
      </w:r>
    </w:p>
    <w:p>
      <w:pPr>
        <w:spacing w:after="120"/>
        <w:jc w:val="both"/>
      </w:pPr>
      <w:r>
        <w:rPr>
          <w:rFonts w:ascii="Arial" w:cs="Arial" w:eastAsia="Arial" w:hAnsi="Arial"/>
          <w:color w:val="222222"/>
          <w:sz w:val="22"/>
          <w:szCs w:val="22"/>
        </w:rPr>
        <w:t xml:space="preserve">MCTNetCov étend MCTNet par l'ajout d'une branche de traitement des covariables et une fusion tardive (Late Fusion). Cette approche préserve le backbone Sentinel-2 intact et ajoute les covariables à la couche de classification uniquement.</w:t>
      </w:r>
    </w:p>
    <w:p>
      <w:pPr>
        <w:pStyle w:val="Heading3"/>
        <w:spacing w:after="100" w:before="200"/>
      </w:pPr>
      <w:r>
        <w:rPr>
          <w:rFonts w:ascii="Arial" w:cs="Arial" w:eastAsia="Arial" w:hAnsi="Arial"/>
          <w:b/>
          <w:bCs/>
          <w:color w:val="1D6FA4"/>
          <w:sz w:val="24"/>
          <w:szCs w:val="24"/>
        </w:rPr>
        <w:t xml:space="preserve">Architecture de CovariateEncoder</w:t>
      </w:r>
    </w:p>
    <w:p>
      <w:pPr>
        <w:spacing w:after="120"/>
        <w:jc w:val="both"/>
      </w:pPr>
      <w:r>
        <w:rPr>
          <w:rFonts w:ascii="Arial" w:cs="Arial" w:eastAsia="Arial" w:hAnsi="Arial"/>
          <w:color w:val="222222"/>
          <w:sz w:val="22"/>
          <w:szCs w:val="22"/>
        </w:rPr>
        <w:t xml:space="preserve">L'encodeur de covariables est un MLP à deux couches avec BatchNorm et Dropout, qui projette le vecteur de covariables de dimension n_cov vers d_cov=16 dimensions :</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CovariateEncoder(n_cov → max(n_cov×4, 16) → 16)</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  Linear(n_cov, hidden) → BatchNorm → ReLU → Dropout</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  Linear(hidden, 16)   → ReLU</w:t>
      </w:r>
    </w:p>
    <w:p>
      <w:pPr>
        <w:pStyle w:val="Heading3"/>
        <w:spacing w:after="100" w:before="200"/>
      </w:pPr>
      <w:r>
        <w:rPr>
          <w:rFonts w:ascii="Arial" w:cs="Arial" w:eastAsia="Arial" w:hAnsi="Arial"/>
          <w:b/>
          <w:bCs/>
          <w:color w:val="1D6FA4"/>
          <w:sz w:val="24"/>
          <w:szCs w:val="24"/>
        </w:rPr>
        <w:t xml:space="preserve">Mécanisme de Late Fusion</w:t>
      </w:r>
    </w:p>
    <w:p>
      <w:pPr>
        <w:spacing w:after="120"/>
        <w:jc w:val="both"/>
      </w:pPr>
      <w:r>
        <w:rPr>
          <w:rFonts w:ascii="Arial" w:cs="Arial" w:eastAsia="Arial" w:hAnsi="Arial"/>
          <w:color w:val="222222"/>
          <w:sz w:val="22"/>
          <w:szCs w:val="22"/>
        </w:rPr>
        <w:t xml:space="preserve">La Late Fusion concatène les représentations de la branche Sentinel-2 et de la branche covariables avant la couche de classification finale :</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feat_s2  = MCTNet_backbone(x, mask)    # [B, 30]  — Global Max Pool</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feat_cov = CovariateEncoder(cov)        # [B, 16]</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fused    = Concat([feat_s2, feat_cov])  # [B, 46]</w:t>
      </w:r>
    </w:p>
    <w:p>
      <w:pPr>
        <w:pBdr>
          <w:left w:val="single" w:color="2E75B6" w:sz="6" w:space="8"/>
        </w:pBdr>
        <w:shd w:fill="F0F4F8" w:val="clear"/>
        <w:spacing w:after="60"/>
        <w:ind w:left="360"/>
      </w:pPr>
      <w:r>
        <w:rPr>
          <w:rFonts w:ascii="Courier New" w:cs="Courier New" w:eastAsia="Courier New" w:hAnsi="Courier New"/>
          <w:color w:val="1A1A1A"/>
          <w:sz w:val="18"/>
          <w:szCs w:val="18"/>
        </w:rPr>
        <w:t xml:space="preserve">logits   = Linear(46→64→N_classes)(fused)</w:t>
      </w:r>
    </w:p>
    <w:p>
      <w:pPr>
        <w:spacing w:after="120"/>
        <w:jc w:val="both"/>
      </w:pPr>
      <w:r>
        <w:rPr>
          <w:rFonts w:ascii="Arial" w:cs="Arial" w:eastAsia="Arial" w:hAnsi="Arial"/>
          <w:color w:val="222222"/>
          <w:sz w:val="22"/>
          <w:szCs w:val="22"/>
        </w:rPr>
        <w:t xml:space="preserve">Ce choix de Late Fusion (par opposition à Early Fusion où les covariables seraient concaténées à l'entrée) présente deux avantages : (1) le backbone Sentinel-2 continue d'apprendre des représentations spectrales-temporelles pures, (2) l'encodeur de covariables apprend une représentation indépendante, les deux étant combinées uniquement pour la décision finale.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n_cov</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Paramètres Cov Encoder</w:t>
            </w:r>
          </w:p>
        </w:tc>
        <w:tc>
          <w:tcPr>
            <w:tcW w:type="dxa" w:w="2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Paramètres Total</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C1 — S2 only</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0 (MCTNet pur)</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0</w:t>
            </w:r>
          </w:p>
        </w:tc>
        <w:tc>
          <w:tcPr>
            <w:tcW w:type="dxa" w:w="22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~55 059 (ARK)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C2 — S2 + Climat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~208</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~55 267</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C3 — S2 + Sol</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3</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~208</w:t>
            </w:r>
          </w:p>
        </w:tc>
        <w:tc>
          <w:tcPr>
            <w:tcW w:type="dxa" w:w="22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~55 267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color w:val="222222"/>
                <w:sz w:val="20"/>
                <w:szCs w:val="20"/>
              </w:rPr>
              <w:t xml:space="preserve">C4 — S2 + Topo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~160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222222"/>
                <w:sz w:val="20"/>
                <w:szCs w:val="20"/>
              </w:rPr>
              <w:t xml:space="preserve">~55 219</w:t>
            </w:r>
          </w:p>
        </w:tc>
      </w:tr>
      <w:tr>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left"/>
            </w:pPr>
            <w:r>
              <w:rPr>
                <w:rFonts w:ascii="Arial" w:cs="Arial" w:eastAsia="Arial" w:hAnsi="Arial"/>
                <w:color w:val="222222"/>
                <w:sz w:val="20"/>
                <w:szCs w:val="20"/>
              </w:rPr>
              <w:t xml:space="preserve">C5 — S2 + Tout</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8</w:t>
            </w:r>
          </w:p>
        </w:tc>
        <w:tc>
          <w:tcPr>
            <w:tcW w:type="dxa" w:w="28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~592</w:t>
            </w:r>
          </w:p>
        </w:tc>
        <w:tc>
          <w:tcPr>
            <w:tcW w:type="dxa" w:w="22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pPr>
              <w:jc w:val="center"/>
            </w:pPr>
            <w:r>
              <w:rPr>
                <w:rFonts w:ascii="Arial" w:cs="Arial" w:eastAsia="Arial" w:hAnsi="Arial"/>
                <w:color w:val="222222"/>
                <w:sz w:val="20"/>
                <w:szCs w:val="20"/>
              </w:rPr>
              <w:t xml:space="preserve">~55 651</w:t>
            </w:r>
          </w:p>
        </w:tc>
      </w:tr>
    </w:tbl>
    <w:p>
      <w:pPr>
        <w:spacing w:after="120"/>
      </w:pPr>
      <w:r>
        <w:t xml:space="preserve"/>
      </w:r>
    </w:p>
    <w:p>
      <w:pPr>
        <w:pStyle w:val="Heading2"/>
        <w:spacing w:after="140" w:before="280"/>
      </w:pPr>
      <w:r>
        <w:rPr>
          <w:rFonts w:ascii="Arial" w:cs="Arial" w:eastAsia="Arial" w:hAnsi="Arial"/>
          <w:b/>
          <w:bCs/>
          <w:color w:val="2E4057"/>
          <w:sz w:val="28"/>
          <w:szCs w:val="28"/>
        </w:rPr>
        <w:t xml:space="preserve">4.6 Ablation Study — 5 configurations (Step 4)</w:t>
      </w:r>
    </w:p>
    <w:p>
      <w:pPr>
        <w:spacing w:after="120"/>
        <w:jc w:val="both"/>
      </w:pPr>
      <w:r>
        <w:rPr>
          <w:rFonts w:ascii="Arial" w:cs="Arial" w:eastAsia="Arial" w:hAnsi="Arial"/>
          <w:color w:val="222222"/>
          <w:sz w:val="22"/>
          <w:szCs w:val="22"/>
        </w:rPr>
        <w:t xml:space="preserve">L'étude d'ablation entraîne MCTNetCov sous 5 configurations distinctes, en conservant exactement les mêmes hyperparamètres qu'en Partie 1. Seul le paramètre n_cov change. La même procédure d'entraînement (Adam, lr=0.001, patience=40) est appliquée pour chaque configuration.</w:t>
      </w:r>
    </w:p>
    <w:p>
      <w:pPr>
        <w:pStyle w:val="Heading3"/>
        <w:spacing w:after="100" w:before="200"/>
      </w:pPr>
      <w:r>
        <w:rPr>
          <w:rFonts w:ascii="Arial" w:cs="Arial" w:eastAsia="Arial" w:hAnsi="Arial"/>
          <w:b/>
          <w:bCs/>
          <w:color w:val="1D6FA4"/>
          <w:sz w:val="24"/>
          <w:szCs w:val="24"/>
        </w:rPr>
        <w:t xml:space="preserve">Stratégie de construction des loaders</w:t>
      </w:r>
    </w:p>
    <w:p>
      <w:pPr>
        <w:spacing w:after="120"/>
        <w:jc w:val="both"/>
      </w:pPr>
      <w:r>
        <w:rPr>
          <w:rFonts w:ascii="Arial" w:cs="Arial" w:eastAsia="Arial" w:hAnsi="Arial"/>
          <w:color w:val="222222"/>
          <w:sz w:val="22"/>
          <w:szCs w:val="22"/>
        </w:rPr>
        <w:t xml:space="preserve">Chaque configuration utilise le même X (données Sentinel normalisées) mais un vecteur de covariables différent passé en entrée séparée à MCTNetCov. Pour la config C1 (baseline), un vecteur dummy de dimension 1 est passé mais ignoré par le modèle MCTNet standard.</w:t>
      </w:r>
    </w:p>
    <w:p>
      <w:pPr>
        <w:pStyle w:val="Heading3"/>
        <w:spacing w:after="100" w:before="200"/>
      </w:pPr>
      <w:r>
        <w:rPr>
          <w:rFonts w:ascii="Arial" w:cs="Arial" w:eastAsia="Arial" w:hAnsi="Arial"/>
          <w:b/>
          <w:bCs/>
          <w:color w:val="1D6FA4"/>
          <w:sz w:val="24"/>
          <w:szCs w:val="24"/>
        </w:rPr>
        <w:t xml:space="preserve">Métriques d'évaluation</w:t>
      </w:r>
    </w:p>
    <w:p>
      <w:pPr>
        <w:spacing w:after="120"/>
        <w:jc w:val="both"/>
      </w:pPr>
      <w:r>
        <w:rPr>
          <w:rFonts w:ascii="Arial" w:cs="Arial" w:eastAsia="Arial" w:hAnsi="Arial"/>
          <w:color w:val="222222"/>
          <w:sz w:val="22"/>
          <w:szCs w:val="22"/>
        </w:rPr>
        <w:t xml:space="preserve">Trois métriques sont calculées sur le jeu de test après chargement du meilleur modèle (val_loss minimale) :</w:t>
      </w:r>
    </w:p>
    <w:p>
      <w:pPr>
        <w:pStyle w:val="ListParagraph"/>
        <w:numPr>
          <w:ilvl w:val="0"/>
          <w:numId w:val="2"/>
        </w:numPr>
        <w:spacing w:after="80"/>
      </w:pPr>
      <w:r>
        <w:rPr>
          <w:rFonts w:ascii="Arial" w:cs="Arial" w:eastAsia="Arial" w:hAnsi="Arial"/>
          <w:color w:val="222222"/>
          <w:sz w:val="22"/>
          <w:szCs w:val="22"/>
        </w:rPr>
        <w:t xml:space="preserve">OA (Overall Accuracy) : taux de pixels correctement classifiés</w:t>
      </w:r>
    </w:p>
    <w:p>
      <w:pPr>
        <w:pStyle w:val="ListParagraph"/>
        <w:numPr>
          <w:ilvl w:val="0"/>
          <w:numId w:val="2"/>
        </w:numPr>
        <w:spacing w:after="80"/>
      </w:pPr>
      <w:r>
        <w:rPr>
          <w:rFonts w:ascii="Arial" w:cs="Arial" w:eastAsia="Arial" w:hAnsi="Arial"/>
          <w:color w:val="222222"/>
          <w:sz w:val="22"/>
          <w:szCs w:val="22"/>
        </w:rPr>
        <w:t xml:space="preserve">Kappa de Cohen : accord entre prédictions et vérité terrain, corrigé du hasard</w:t>
      </w:r>
    </w:p>
    <w:p>
      <w:pPr>
        <w:pStyle w:val="ListParagraph"/>
        <w:numPr>
          <w:ilvl w:val="0"/>
          <w:numId w:val="2"/>
        </w:numPr>
        <w:spacing w:after="80"/>
      </w:pPr>
      <w:r>
        <w:rPr>
          <w:rFonts w:ascii="Arial" w:cs="Arial" w:eastAsia="Arial" w:hAnsi="Arial"/>
          <w:color w:val="222222"/>
          <w:sz w:val="22"/>
          <w:szCs w:val="22"/>
        </w:rPr>
        <w:t xml:space="preserve">F1 macro : moyenne arithmétique du F1-score par classe (pondération égale)</w:t>
      </w:r>
    </w:p>
    <w:p>
      <w:pPr>
        <w:pStyle w:val="Heading2"/>
        <w:spacing w:after="140" w:before="280"/>
      </w:pPr>
      <w:r>
        <w:rPr>
          <w:rFonts w:ascii="Arial" w:cs="Arial" w:eastAsia="Arial" w:hAnsi="Arial"/>
          <w:b/>
          <w:bCs/>
          <w:color w:val="2E4057"/>
          <w:sz w:val="28"/>
          <w:szCs w:val="28"/>
        </w:rPr>
        <w:t xml:space="preserve">4.7 Résultats Ablation — Arkansas</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Tableau récapitulatif ablation Arkansas ]</w:t>
      </w:r>
    </w:p>
    <w:p>
      <w:pPr>
        <w:spacing w:after="60"/>
        <w:ind w:left="360"/>
      </w:pPr>
      <w:r>
        <w:rPr>
          <w:rFonts w:ascii="Courier New" w:cs="Courier New" w:eastAsia="Courier New" w:hAnsi="Courier New"/>
          <w:color w:val="444444"/>
          <w:sz w:val="20"/>
          <w:szCs w:val="20"/>
        </w:rPr>
        <w:t xml:space="preserve">Configuration    |  OA   |  Kappa  |  F1   |  ΔOA</w:t>
      </w:r>
    </w:p>
    <w:p>
      <w:pPr>
        <w:spacing w:after="60"/>
        <w:ind w:left="360"/>
      </w:pPr>
      <w:r>
        <w:rPr>
          <w:rFonts w:ascii="Courier New" w:cs="Courier New" w:eastAsia="Courier New" w:hAnsi="Courier New"/>
          <w:color w:val="444444"/>
          <w:sz w:val="20"/>
          <w:szCs w:val="20"/>
        </w:rPr>
        <w:t xml:space="preserve">C1 S2 only       |  ___  |  ___    |  ___  |  —</w:t>
      </w:r>
    </w:p>
    <w:p>
      <w:pPr>
        <w:spacing w:after="60"/>
        <w:ind w:left="360"/>
      </w:pPr>
      <w:r>
        <w:rPr>
          <w:rFonts w:ascii="Courier New" w:cs="Courier New" w:eastAsia="Courier New" w:hAnsi="Courier New"/>
          <w:color w:val="444444"/>
          <w:sz w:val="20"/>
          <w:szCs w:val="20"/>
        </w:rPr>
        <w:t xml:space="preserve">C2 S2 + Climat   |  ___  |  ___    |  ___  |  ___</w:t>
      </w:r>
    </w:p>
    <w:p>
      <w:pPr>
        <w:spacing w:after="60"/>
        <w:ind w:left="360"/>
      </w:pPr>
      <w:r>
        <w:rPr>
          <w:rFonts w:ascii="Courier New" w:cs="Courier New" w:eastAsia="Courier New" w:hAnsi="Courier New"/>
          <w:color w:val="444444"/>
          <w:sz w:val="20"/>
          <w:szCs w:val="20"/>
        </w:rPr>
        <w:t xml:space="preserve">C3 S2 + Sol      |  ___  |  ___    |  ___  |  ___</w:t>
      </w:r>
    </w:p>
    <w:p>
      <w:pPr>
        <w:spacing w:after="60"/>
        <w:ind w:left="360"/>
      </w:pPr>
      <w:r>
        <w:rPr>
          <w:rFonts w:ascii="Courier New" w:cs="Courier New" w:eastAsia="Courier New" w:hAnsi="Courier New"/>
          <w:color w:val="444444"/>
          <w:sz w:val="20"/>
          <w:szCs w:val="20"/>
        </w:rPr>
        <w:t xml:space="preserve">C4 S2 + Topo     |  ___  |  ___    |  ___  |  ___</w:t>
      </w:r>
    </w:p>
    <w:p>
      <w:pPr>
        <w:spacing w:after="120"/>
        <w:ind w:left="360"/>
      </w:pPr>
      <w:r>
        <w:rPr>
          <w:rFonts w:ascii="Courier New" w:cs="Courier New" w:eastAsia="Courier New" w:hAnsi="Courier New"/>
          <w:color w:val="444444"/>
          <w:sz w:val="20"/>
          <w:szCs w:val="20"/>
        </w:rPr>
        <w:t xml:space="preserve">C5 S2 + Tout     |  ___  |  ___    |  ___  |  ___</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Barplot OA/Kappa/F1 ablation Arkansas (fig_ablation_metrics.png) ]</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Gain vs baseline Arkansas (fig_ablation_delta.png) ]</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Courbes apprentissage 5 configs Arkansas (fig_ablation_learning.png) ]</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Radar OA/Kappa/F1 Arkansas (fig_ablation_radar.png) ]</w:t>
      </w:r>
    </w:p>
    <w:p>
      <w:pPr>
        <w:spacing w:after="120"/>
      </w:pPr>
      <w:r>
        <w:t xml:space="preserve"/>
      </w:r>
    </w:p>
    <w:p>
      <w:pPr>
        <w:pStyle w:val="Heading2"/>
        <w:spacing w:after="140" w:before="280"/>
      </w:pPr>
      <w:r>
        <w:rPr>
          <w:rFonts w:ascii="Arial" w:cs="Arial" w:eastAsia="Arial" w:hAnsi="Arial"/>
          <w:b/>
          <w:bCs/>
          <w:color w:val="2E4057"/>
          <w:sz w:val="28"/>
          <w:szCs w:val="28"/>
        </w:rPr>
        <w:t xml:space="preserve">4.8 Résultats Ablation — California</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Tableau récapitulatif ablation California ]</w:t>
      </w:r>
    </w:p>
    <w:p>
      <w:pPr>
        <w:spacing w:after="60"/>
        <w:ind w:left="360"/>
      </w:pPr>
      <w:r>
        <w:rPr>
          <w:rFonts w:ascii="Courier New" w:cs="Courier New" w:eastAsia="Courier New" w:hAnsi="Courier New"/>
          <w:color w:val="444444"/>
          <w:sz w:val="20"/>
          <w:szCs w:val="20"/>
        </w:rPr>
        <w:t xml:space="preserve">Configuration    |  OA   |  Kappa  |  F1   |  ΔOA</w:t>
      </w:r>
    </w:p>
    <w:p>
      <w:pPr>
        <w:spacing w:after="60"/>
        <w:ind w:left="360"/>
      </w:pPr>
      <w:r>
        <w:rPr>
          <w:rFonts w:ascii="Courier New" w:cs="Courier New" w:eastAsia="Courier New" w:hAnsi="Courier New"/>
          <w:color w:val="444444"/>
          <w:sz w:val="20"/>
          <w:szCs w:val="20"/>
        </w:rPr>
        <w:t xml:space="preserve">C1 S2 only       |  ___  |  ___    |  ___  |  —</w:t>
      </w:r>
    </w:p>
    <w:p>
      <w:pPr>
        <w:spacing w:after="60"/>
        <w:ind w:left="360"/>
      </w:pPr>
      <w:r>
        <w:rPr>
          <w:rFonts w:ascii="Courier New" w:cs="Courier New" w:eastAsia="Courier New" w:hAnsi="Courier New"/>
          <w:color w:val="444444"/>
          <w:sz w:val="20"/>
          <w:szCs w:val="20"/>
        </w:rPr>
        <w:t xml:space="preserve">C2 S2 + Climat   |  ___  |  ___    |  ___  |  ___</w:t>
      </w:r>
    </w:p>
    <w:p>
      <w:pPr>
        <w:spacing w:after="60"/>
        <w:ind w:left="360"/>
      </w:pPr>
      <w:r>
        <w:rPr>
          <w:rFonts w:ascii="Courier New" w:cs="Courier New" w:eastAsia="Courier New" w:hAnsi="Courier New"/>
          <w:color w:val="444444"/>
          <w:sz w:val="20"/>
          <w:szCs w:val="20"/>
        </w:rPr>
        <w:t xml:space="preserve">C3 S2 + Sol      |  ___  |  ___    |  ___  |  ___</w:t>
      </w:r>
    </w:p>
    <w:p>
      <w:pPr>
        <w:spacing w:after="60"/>
        <w:ind w:left="360"/>
      </w:pPr>
      <w:r>
        <w:rPr>
          <w:rFonts w:ascii="Courier New" w:cs="Courier New" w:eastAsia="Courier New" w:hAnsi="Courier New"/>
          <w:color w:val="444444"/>
          <w:sz w:val="20"/>
          <w:szCs w:val="20"/>
        </w:rPr>
        <w:t xml:space="preserve">C4 S2 + Topo     |  ___  |  ___    |  ___  |  ___</w:t>
      </w:r>
    </w:p>
    <w:p>
      <w:pPr>
        <w:spacing w:after="120"/>
        <w:ind w:left="360"/>
      </w:pPr>
      <w:r>
        <w:rPr>
          <w:rFonts w:ascii="Courier New" w:cs="Courier New" w:eastAsia="Courier New" w:hAnsi="Courier New"/>
          <w:color w:val="444444"/>
          <w:sz w:val="20"/>
          <w:szCs w:val="20"/>
        </w:rPr>
        <w:t xml:space="preserve">C5 S2 + Tout     |  ___  |  ___    |  ___  |  ___</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Barplot OA/Kappa/F1 ablation California (fig_ablation_metrics.png) ]</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Gain vs baseline California (fig_ablation_delta.png) ]</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Courbes apprentissage 5 configs California (fig_ablation_learning.png) ]</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Figure — Radar OA/Kappa/F1 California (fig_ablation_radar.png) ]</w:t>
      </w:r>
    </w:p>
    <w:p>
      <w:pPr>
        <w:spacing w:after="120"/>
      </w:pPr>
      <w:r>
        <w:t xml:space="preserve"/>
      </w:r>
    </w:p>
    <w:p>
      <w:r>
        <w:br w:type="page"/>
      </w:r>
    </w:p>
    <w:p>
      <w:pPr>
        <w:pStyle w:val="Heading1"/>
        <w:pBdr>
          <w:bottom w:val="single" w:color="2E75B6" w:sz="8" w:space="4"/>
        </w:pBdr>
        <w:spacing w:after="200" w:before="360"/>
      </w:pPr>
      <w:r>
        <w:rPr>
          <w:rFonts w:ascii="Arial" w:cs="Arial" w:eastAsia="Arial" w:hAnsi="Arial"/>
          <w:b/>
          <w:bCs/>
          <w:color w:val="1A3A5C"/>
          <w:sz w:val="32"/>
          <w:szCs w:val="32"/>
        </w:rPr>
        <w:t xml:space="preserve">5. Discussion et analyse comparative</w:t>
      </w:r>
    </w:p>
    <w:p>
      <w:pPr>
        <w:pStyle w:val="Heading2"/>
        <w:spacing w:after="140" w:before="280"/>
      </w:pPr>
      <w:r>
        <w:rPr>
          <w:rFonts w:ascii="Arial" w:cs="Arial" w:eastAsia="Arial" w:hAnsi="Arial"/>
          <w:b/>
          <w:bCs/>
          <w:color w:val="2E4057"/>
          <w:sz w:val="28"/>
          <w:szCs w:val="28"/>
        </w:rPr>
        <w:t xml:space="preserve">5.1 Comparaison avec les résultats du papier</w:t>
      </w:r>
    </w:p>
    <w:p>
      <w:pPr>
        <w:spacing w:after="120"/>
        <w:jc w:val="both"/>
      </w:pPr>
      <w:r>
        <w:rPr>
          <w:rFonts w:ascii="Arial" w:cs="Arial" w:eastAsia="Arial" w:hAnsi="Arial"/>
          <w:color w:val="222222"/>
          <w:sz w:val="22"/>
          <w:szCs w:val="22"/>
        </w:rPr>
        <w:t xml:space="preserve">Le tableau ci-dessous compare les métriques obtenues avec celles reportées dans le papier de Wang et al. (2024).</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Tableau comparatif Notre résultat vs Papier (Arkansas + California) ]</w:t>
      </w:r>
    </w:p>
    <w:p>
      <w:pPr>
        <w:spacing w:after="120"/>
      </w:pPr>
      <w:r>
        <w:t xml:space="preserve"/>
      </w:r>
    </w:p>
    <w:p>
      <w:pPr>
        <w:pStyle w:val="Heading2"/>
        <w:spacing w:after="140" w:before="280"/>
      </w:pPr>
      <w:r>
        <w:rPr>
          <w:rFonts w:ascii="Arial" w:cs="Arial" w:eastAsia="Arial" w:hAnsi="Arial"/>
          <w:b/>
          <w:bCs/>
          <w:color w:val="2E4057"/>
          <w:sz w:val="28"/>
          <w:szCs w:val="28"/>
        </w:rPr>
        <w:t xml:space="preserve">5.2 Impact des covariables environnementales</w:t>
      </w:r>
    </w:p>
    <w:p>
      <w:pPr>
        <w:spacing w:after="120"/>
        <w:jc w:val="both"/>
      </w:pPr>
      <w:r>
        <w:rPr>
          <w:rFonts w:ascii="Arial" w:cs="Arial" w:eastAsia="Arial" w:hAnsi="Arial"/>
          <w:color w:val="222222"/>
          <w:sz w:val="22"/>
          <w:szCs w:val="22"/>
        </w:rPr>
        <w:t xml:space="preserve">L'étude d'ablation permet d'évaluer quantitativement la contribution de chaque groupe de covariables. Les observations attendues, à confirmer ou infirmer avec vos résultats, sont les suivantes :</w:t>
      </w:r>
    </w:p>
    <w:p>
      <w:pPr>
        <w:pStyle w:val="ListParagraph"/>
        <w:numPr>
          <w:ilvl w:val="0"/>
          <w:numId w:val="2"/>
        </w:numPr>
        <w:spacing w:after="80"/>
      </w:pPr>
      <w:r>
        <w:rPr>
          <w:rFonts w:ascii="Arial" w:cs="Arial" w:eastAsia="Arial" w:hAnsi="Arial"/>
          <w:color w:val="222222"/>
          <w:sz w:val="22"/>
          <w:szCs w:val="22"/>
        </w:rPr>
        <w:t xml:space="preserve">Covariables climatiques (ERA5) : impact potentiellement limité en Arkansas car la zone du Delta présente une homogénéité climatique élevée. En California, la variabilité climatique entre la vallée de Sacramento (humide) et la vallée San Joaquin Sud (semi-aride) pourrait être plus discriminante.</w:t>
      </w:r>
    </w:p>
    <w:p>
      <w:pPr>
        <w:pStyle w:val="ListParagraph"/>
        <w:numPr>
          <w:ilvl w:val="0"/>
          <w:numId w:val="2"/>
        </w:numPr>
        <w:spacing w:after="80"/>
      </w:pPr>
      <w:r>
        <w:rPr>
          <w:rFonts w:ascii="Arial" w:cs="Arial" w:eastAsia="Arial" w:hAnsi="Arial"/>
          <w:color w:val="222222"/>
          <w:sz w:val="22"/>
          <w:szCs w:val="22"/>
        </w:rPr>
        <w:t xml:space="preserve">Covariables pédologiques (SoilGrids) : attendues comme les plus discriminantes pour le riz (sols argileux imperméables, pH acide) vs le coton (sols sableux drainants). Le résultat de l'importance Random Forest devrait confirmer ou invalider cette hypothèse.</w:t>
      </w:r>
    </w:p>
    <w:p>
      <w:pPr>
        <w:pStyle w:val="ListParagraph"/>
        <w:numPr>
          <w:ilvl w:val="0"/>
          <w:numId w:val="2"/>
        </w:numPr>
        <w:spacing w:after="80"/>
      </w:pPr>
      <w:r>
        <w:rPr>
          <w:rFonts w:ascii="Arial" w:cs="Arial" w:eastAsia="Arial" w:hAnsi="Arial"/>
          <w:color w:val="222222"/>
          <w:sz w:val="22"/>
          <w:szCs w:val="22"/>
        </w:rPr>
        <w:t xml:space="preserve">Covariables topographiques (ETOPO1 + ALOS) : la classe landforms=11 (fond plat inondable) devrait fortement signaler les rizières dans le Delta d'Arkansas. L'altitude ETOPO1 à faible résolution (1.85 km) est moins précise que le SRTM 30m et pourrait limiter l'apport de cette variable.</w:t>
      </w:r>
    </w:p>
    <w:p>
      <w:pPr>
        <w:pStyle w:val="ListParagraph"/>
        <w:numPr>
          <w:ilvl w:val="0"/>
          <w:numId w:val="2"/>
        </w:numPr>
        <w:spacing w:after="80"/>
      </w:pPr>
      <w:r>
        <w:rPr>
          <w:rFonts w:ascii="Arial" w:cs="Arial" w:eastAsia="Arial" w:hAnsi="Arial"/>
          <w:color w:val="222222"/>
          <w:sz w:val="22"/>
          <w:szCs w:val="22"/>
        </w:rPr>
        <w:t xml:space="preserve">Combinaison complète (C5) : la fusion de toutes les covariables peut soit améliorer davantage la performance (synergie), soit introduire du bruit et réduire légèrement les métriques (redondance ou conflits entre variables).</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Analyse des résultats réels — Quelle covariable apporte le plus ? Cohérence avec les hypothèses ? ]</w:t>
      </w:r>
    </w:p>
    <w:p>
      <w:pPr>
        <w:spacing w:after="120"/>
      </w:pPr>
      <w:r>
        <w:t xml:space="preserve"/>
      </w:r>
    </w:p>
    <w:p>
      <w:pPr>
        <w:pStyle w:val="Heading2"/>
        <w:spacing w:after="140" w:before="280"/>
      </w:pPr>
      <w:r>
        <w:rPr>
          <w:rFonts w:ascii="Arial" w:cs="Arial" w:eastAsia="Arial" w:hAnsi="Arial"/>
          <w:b/>
          <w:bCs/>
          <w:color w:val="2E4057"/>
          <w:sz w:val="28"/>
          <w:szCs w:val="28"/>
        </w:rPr>
        <w:t xml:space="preserve">5.3 Limitations observées</w:t>
      </w:r>
    </w:p>
    <w:p>
      <w:pPr>
        <w:spacing w:after="120"/>
        <w:jc w:val="both"/>
      </w:pPr>
      <w:r>
        <w:rPr>
          <w:rFonts w:ascii="Arial" w:cs="Arial" w:eastAsia="Arial" w:hAnsi="Arial"/>
          <w:color w:val="222222"/>
          <w:sz w:val="22"/>
          <w:szCs w:val="22"/>
        </w:rPr>
        <w:t xml:space="preserve">Plusieurs limitations ont été identifiées au cours du projet :</w:t>
      </w:r>
    </w:p>
    <w:p>
      <w:pPr>
        <w:pStyle w:val="ListParagraph"/>
        <w:numPr>
          <w:ilvl w:val="0"/>
          <w:numId w:val="2"/>
        </w:numPr>
        <w:spacing w:after="80"/>
      </w:pPr>
      <w:r>
        <w:rPr>
          <w:rFonts w:ascii="Arial" w:cs="Arial" w:eastAsia="Arial" w:hAnsi="Arial"/>
          <w:color w:val="222222"/>
          <w:sz w:val="22"/>
          <w:szCs w:val="22"/>
        </w:rPr>
        <w:t xml:space="preserve">Résolution des covariables ERA5 (~28 km) très inférieure à celle de Sentinel-2 (10-30 m) : chaque point Sentinel-2 reçoit la même valeur climatique, ce qui explique des distributions identiques entre classes dans les zones géographiquement proches.</w:t>
      </w:r>
    </w:p>
    <w:p>
      <w:pPr>
        <w:pStyle w:val="ListParagraph"/>
        <w:numPr>
          <w:ilvl w:val="0"/>
          <w:numId w:val="2"/>
        </w:numPr>
        <w:spacing w:after="80"/>
      </w:pPr>
      <w:r>
        <w:rPr>
          <w:rFonts w:ascii="Arial" w:cs="Arial" w:eastAsia="Arial" w:hAnsi="Arial"/>
          <w:color w:val="222222"/>
          <w:sz w:val="22"/>
          <w:szCs w:val="22"/>
        </w:rPr>
        <w:t xml:space="preserve">Alignement KD-tree entre les coordonnées des points CDL et les pixels des covariables : si les CSV GEE ne contiennent qu'un seul point unique (bug de l'export), tous les N points reçoivent la même valeur (problème observé en Step 2).</w:t>
      </w:r>
    </w:p>
    <w:p>
      <w:pPr>
        <w:pStyle w:val="ListParagraph"/>
        <w:numPr>
          <w:ilvl w:val="0"/>
          <w:numId w:val="2"/>
        </w:numPr>
        <w:spacing w:after="80"/>
      </w:pPr>
      <w:r>
        <w:rPr>
          <w:rFonts w:ascii="Arial" w:cs="Arial" w:eastAsia="Arial" w:hAnsi="Arial"/>
          <w:color w:val="222222"/>
          <w:sz w:val="22"/>
          <w:szCs w:val="22"/>
        </w:rPr>
        <w:t xml:space="preserve">La Late Fusion assume que les covariables et le backbone Sentinel s'entraînent de manière indépendante, ce qui peut sous-exploiter les interactions potentielles entre spectral et environnemental.</w:t>
      </w:r>
    </w:p>
    <w:p>
      <w:pPr>
        <w:spacing w:after="120"/>
      </w:pPr>
      <w:r>
        <w:t xml:space="preserve"/>
      </w:r>
    </w:p>
    <w:p>
      <w:r>
        <w:br w:type="page"/>
      </w:r>
    </w:p>
    <w:p>
      <w:pPr>
        <w:pStyle w:val="Heading1"/>
        <w:pBdr>
          <w:bottom w:val="single" w:color="2E75B6" w:sz="8" w:space="4"/>
        </w:pBdr>
        <w:spacing w:after="200" w:before="360"/>
      </w:pPr>
      <w:r>
        <w:rPr>
          <w:rFonts w:ascii="Arial" w:cs="Arial" w:eastAsia="Arial" w:hAnsi="Arial"/>
          <w:b/>
          <w:bCs/>
          <w:color w:val="1A3A5C"/>
          <w:sz w:val="32"/>
          <w:szCs w:val="32"/>
        </w:rPr>
        <w:t xml:space="preserve">6. Conclusion</w:t>
      </w:r>
    </w:p>
    <w:p>
      <w:pPr>
        <w:spacing w:after="120"/>
        <w:jc w:val="both"/>
      </w:pPr>
      <w:r>
        <w:rPr>
          <w:rFonts w:ascii="Arial" w:cs="Arial" w:eastAsia="Arial" w:hAnsi="Arial"/>
          <w:color w:val="222222"/>
          <w:sz w:val="22"/>
          <w:szCs w:val="22"/>
        </w:rPr>
        <w:t xml:space="preserve">Ce rapport présente la reproduction fidèle de l'architecture MCTNet et son extension par l'intégration de covariables environnementales. La Partie 1 démontre la capacité de MCTNet à classifier les cultures agricoles à partir de séries temporelles Sentinel-2, avec des performances proches des résultats publiés.</w:t>
      </w:r>
    </w:p>
    <w:p>
      <w:pPr>
        <w:spacing w:after="120"/>
        <w:jc w:val="both"/>
      </w:pPr>
      <w:r>
        <w:rPr>
          <w:rFonts w:ascii="Arial" w:cs="Arial" w:eastAsia="Arial" w:hAnsi="Arial"/>
          <w:color w:val="222222"/>
          <w:sz w:val="22"/>
          <w:szCs w:val="22"/>
        </w:rPr>
        <w:t xml:space="preserve">La Partie 2 introduit une architecture MCTNetCov basée sur la Late Fusion, permettant d'évaluer systématiquement l'impact de trois types de covariables : climatiques (ERA5), pédologiques (OpenLandMap SoilGrids) et topographiques (ETOPO1 + ALOS ERGo). L'étude d'ablation sur 5 configurations fournit une analyse quantitative rigoureuse de la contribution de chaque groupe.</w:t>
      </w:r>
    </w:p>
    <w:p>
      <w:pPr>
        <w:spacing w:after="120"/>
      </w:pPr>
      <w:r>
        <w:t xml:space="preserve"/>
      </w:r>
    </w:p>
    <w:p>
      <w:pPr>
        <w:pBdr>
          <w:top w:val="dashed" w:color="CCCCCC" w:sz="4"/>
          <w:bottom w:val="dashed" w:color="CCCCCC" w:sz="4"/>
          <w:left w:val="single" w:color="FF9800" w:sz="8"/>
          <w:right w:val="dashed" w:color="CCCCCC" w:sz="4"/>
        </w:pBdr>
        <w:shd w:fill="FFF9F0" w:val="clear"/>
        <w:spacing w:after="120" w:before="120"/>
        <w:ind w:left="360" w:right="360"/>
      </w:pPr>
      <w:r>
        <w:rPr>
          <w:rFonts w:ascii="Arial" w:cs="Arial" w:eastAsia="Arial" w:hAnsi="Arial"/>
          <w:b/>
          <w:bCs/>
          <w:i/>
          <w:iCs/>
          <w:color w:val="888888"/>
          <w:sz w:val="22"/>
          <w:szCs w:val="22"/>
        </w:rPr>
        <w:t xml:space="preserve">[ INSÉRER ICI : Conclusion sur les résultats — Quelle configuration est la meilleure ? Les covariables améliorent-elles la classification ? ]</w:t>
      </w:r>
    </w:p>
    <w:p>
      <w:pPr>
        <w:spacing w:after="120"/>
      </w:pPr>
      <w:r>
        <w:t xml:space="preserve"/>
      </w:r>
    </w:p>
    <w:p>
      <w:pPr>
        <w:spacing w:after="120"/>
        <w:jc w:val="both"/>
      </w:pPr>
      <w:r>
        <w:rPr>
          <w:rFonts w:ascii="Arial" w:cs="Arial" w:eastAsia="Arial" w:hAnsi="Arial"/>
          <w:color w:val="222222"/>
          <w:sz w:val="22"/>
          <w:szCs w:val="22"/>
        </w:rPr>
        <w:t xml:space="preserve">Les perspectives d'amélioration incluent l'utilisation de covariables à plus haute résolution (DAYMET 1km pour le climat, SRTM 30m pour la topographie), l'exploration d'une Early Fusion ou d'une attention croisée entre branches, et l'extension à d'autres régions et années pour tester la généralisation du modèle.</w:t>
      </w:r>
    </w:p>
    <w:p>
      <w:r>
        <w:br w:type="page"/>
      </w:r>
    </w:p>
    <w:p>
      <w:pPr>
        <w:pStyle w:val="Heading1"/>
        <w:pBdr>
          <w:bottom w:val="single" w:color="2E75B6" w:sz="8" w:space="4"/>
        </w:pBdr>
        <w:spacing w:after="200" w:before="360"/>
      </w:pPr>
      <w:r>
        <w:rPr>
          <w:rFonts w:ascii="Arial" w:cs="Arial" w:eastAsia="Arial" w:hAnsi="Arial"/>
          <w:b/>
          <w:bCs/>
          <w:color w:val="1A3A5C"/>
          <w:sz w:val="32"/>
          <w:szCs w:val="32"/>
        </w:rPr>
        <w:t xml:space="preserve">7. Références</w:t>
      </w:r>
    </w:p>
    <w:p>
      <w:pPr>
        <w:spacing w:after="120"/>
        <w:jc w:val="both"/>
      </w:pPr>
      <w:r>
        <w:rPr>
          <w:rFonts w:ascii="Arial" w:cs="Arial" w:eastAsia="Arial" w:hAnsi="Arial"/>
          <w:color w:val="222222"/>
          <w:sz w:val="22"/>
          <w:szCs w:val="22"/>
        </w:rPr>
        <w:t xml:space="preserve">[1] Wang et al. (2024). A lightweight CNN-Transformer network for pixel-based crop mapping using time-series Sentinel-2 imagery. Computers and Electronics in Agriculture.</w:t>
      </w:r>
    </w:p>
    <w:p>
      <w:pPr>
        <w:spacing w:after="120"/>
        <w:jc w:val="both"/>
      </w:pPr>
      <w:r>
        <w:rPr>
          <w:rFonts w:ascii="Arial" w:cs="Arial" w:eastAsia="Arial" w:hAnsi="Arial"/>
          <w:color w:val="222222"/>
          <w:sz w:val="22"/>
          <w:szCs w:val="22"/>
        </w:rPr>
        <w:t xml:space="preserve">[2] Drusch, M. et al. (2012). Sentinel-2: ESA's Optical High-Resolution Mission for GMES Operational Services. Remote Sensing of Environment, 120, 25-36.</w:t>
      </w:r>
    </w:p>
    <w:p>
      <w:pPr>
        <w:spacing w:after="120"/>
        <w:jc w:val="both"/>
      </w:pPr>
      <w:r>
        <w:rPr>
          <w:rFonts w:ascii="Arial" w:cs="Arial" w:eastAsia="Arial" w:hAnsi="Arial"/>
          <w:color w:val="222222"/>
          <w:sz w:val="22"/>
          <w:szCs w:val="22"/>
        </w:rPr>
        <w:t xml:space="preserve">[3] Boryan, C. et al. (2011). Monitoring US agriculture: the US Department of Agriculture, National Agricultural Statistics Service, Cropland Data Layer Program. Geocarto International, 26(5), 341-358.</w:t>
      </w:r>
    </w:p>
    <w:p>
      <w:pPr>
        <w:spacing w:after="120"/>
        <w:jc w:val="both"/>
      </w:pPr>
      <w:r>
        <w:rPr>
          <w:rFonts w:ascii="Arial" w:cs="Arial" w:eastAsia="Arial" w:hAnsi="Arial"/>
          <w:color w:val="222222"/>
          <w:sz w:val="22"/>
          <w:szCs w:val="22"/>
        </w:rPr>
        <w:t xml:space="preserve">[4] Hersbach, H. et al. (2020). The ERA5 global reanalysis. Quarterly Journal of the Royal Meteorological Society, 146(730), 1999-2049.</w:t>
      </w:r>
    </w:p>
    <w:p>
      <w:pPr>
        <w:spacing w:after="120"/>
        <w:jc w:val="both"/>
      </w:pPr>
      <w:r>
        <w:rPr>
          <w:rFonts w:ascii="Arial" w:cs="Arial" w:eastAsia="Arial" w:hAnsi="Arial"/>
          <w:color w:val="222222"/>
          <w:sz w:val="22"/>
          <w:szCs w:val="22"/>
        </w:rPr>
        <w:t xml:space="preserve">[5] Poggio, L. et al. (2021). SoilGrids 2.0: producing soil information for the globe with quantified spatial uncertainty. SOIL, 7(1), 217-240.</w:t>
      </w:r>
    </w:p>
    <w:p>
      <w:pPr>
        <w:spacing w:after="120"/>
        <w:jc w:val="both"/>
      </w:pPr>
      <w:r>
        <w:rPr>
          <w:rFonts w:ascii="Arial" w:cs="Arial" w:eastAsia="Arial" w:hAnsi="Arial"/>
          <w:color w:val="222222"/>
          <w:sz w:val="22"/>
          <w:szCs w:val="22"/>
        </w:rPr>
        <w:t xml:space="preserve">[6] Danielson, J.J. &amp; Gesch, D.B. (2011). Global Multi-resolution Terrain Elevation Data 2010 (GMTED2010). USGS Open-File Report 2011-1073.</w:t>
      </w:r>
    </w:p>
    <w:p>
      <w:pPr>
        <w:spacing w:after="120"/>
        <w:jc w:val="both"/>
      </w:pPr>
      <w:r>
        <w:rPr>
          <w:rFonts w:ascii="Arial" w:cs="Arial" w:eastAsia="Arial" w:hAnsi="Arial"/>
          <w:color w:val="222222"/>
          <w:sz w:val="22"/>
          <w:szCs w:val="22"/>
        </w:rPr>
        <w:t xml:space="preserve">[7] Theobald, D.M. et al. (2015). Ecologically-relevant maps of landforms and physiographic diversity for climate adaptation planning. PLOS ONE, 10(12).</w:t>
      </w:r>
    </w:p>
    <w:p>
      <w:pPr>
        <w:spacing w:after="120"/>
      </w:pPr>
      <w:r>
        <w:t xml:space="preserve"/>
      </w:r>
    </w:p>
    <w:sectPr>
      <w:head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pPr>
    <w:r>
      <w:rPr>
        <w:rFonts w:ascii="Arial" w:cs="Arial" w:eastAsia="Arial" w:hAnsi="Arial"/>
        <w:color w:val="888888"/>
        <w:sz w:val="18"/>
        <w:szCs w:val="18"/>
      </w:rPr>
      <w:t xml:space="preserve">Rapport Technique — Deep Learning for Crop Classification | M1 SII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D6F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2026-04-11T22:48:16.880Z</dcterms:created>
  <dcterms:modified xsi:type="dcterms:W3CDTF">2026-04-11T22:48:16.880Z</dcterms:modified>
</cp:coreProperties>
</file>

<file path=docProps/custom.xml><?xml version="1.0" encoding="utf-8"?>
<Properties xmlns="http://schemas.openxmlformats.org/officeDocument/2006/custom-properties" xmlns:vt="http://schemas.openxmlformats.org/officeDocument/2006/docPropsVTypes"/>
</file>