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1_3</w:t>
      </w:r>
    </w:p>
    <w:p w:rsidR="00191E88" w:rsidRDefault="00191E88">
      <w:r>
        <w:t xml:space="preserve">SB </w:t>
      </w:r>
      <w:r>
        <w:t xml:space="preserve">vitreous </w:t>
      </w:r>
      <w:r>
        <w:t xml:space="preserve">with </w:t>
      </w:r>
      <w:r>
        <w:t xml:space="preserve">combined </w:t>
      </w:r>
      <w:r>
        <w:t xml:space="preserve">error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72CEE37C" w14:textId="77777777">
        <w:tc>
          <w:tcPr>
            <w:tcW w:w="2043" w:type="dxa"/>
            <w:shd w:val="clear" w:color="auto" w:themeFill="accent4" w:themeFillTint="20"/>
          </w:tcPr>
          <w:p w14:paraId="F83C1D73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3C9E9F00" w14:textId="77777777" w:rsidR="00691F0F" w:rsidRDefault="00EA521C">
            <w:r>
              <w:rPr>
                <w:sz w:val="18"/>
              </w:rPr>
              <w:t>1_3.out</w:t>
            </w:r>
          </w:p>
        </w:tc>
      </w:tr>
      <w:tr w:rsidR="00691F0F" w14:paraId="71409FAB" w14:textId="77777777">
        <w:tc>
          <w:tcPr>
            <w:tcW w:w="2043" w:type="dxa"/>
            <w:shd w:val="clear" w:color="auto" w:themeFill="accent4" w:themeFillTint="10"/>
          </w:tcPr>
          <w:p w14:paraId="BA9CE9D0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01B0CB62" w14:textId="77777777" w:rsidR="00691F0F" w:rsidRDefault="00EA521C">
            <w:r>
              <w:rPr>
                <w:sz w:val="18"/>
              </w:rPr>
              <w:t>1</w:t>
            </w:r>
          </w:p>
        </w:tc>
      </w:tr>
      <w:tr w:rsidR="00691F0F" w14:paraId="9FE8A90F" w14:textId="77777777">
        <w:tc>
          <w:tcPr>
            <w:tcW w:w="2043" w:type="dxa"/>
            <w:shd w:val="clear" w:color="auto" w:themeFill="accent4" w:themeFillTint="20"/>
          </w:tcPr>
          <w:p w14:paraId="787E0D57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6569704E" w14:textId="77777777" w:rsidR="00691F0F" w:rsidRDefault="00EA521C">
            <w:r>
              <w:rPr>
                <w:sz w:val="18"/>
              </w:rPr>
              <w:t>SB vitreous with combined error</w:t>
            </w:r>
          </w:p>
        </w:tc>
      </w:tr>
      <w:tr w:rsidR="00691F0F" w14:paraId="A59DEFC9" w14:textId="77777777">
        <w:tc>
          <w:tcPr>
            <w:tcW w:w="2043" w:type="dxa"/>
            <w:shd w:val="clear" w:color="auto" w:themeFill="accent4" w:themeFillTint="10"/>
          </w:tcPr>
          <w:p w14:paraId="AD63533F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89BCE7C1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935F417F" w14:textId="77777777">
        <w:tc>
          <w:tcPr>
            <w:tcW w:w="2043" w:type="dxa"/>
            <w:shd w:val="clear" w:color="auto" w:themeFill="accent4" w:themeFillTint="20"/>
          </w:tcPr>
          <w:p w14:paraId="F72C9719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2BDF859C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68342465" w14:textId="77777777">
        <w:tc>
          <w:tcPr>
            <w:tcW w:w="2043" w:type="dxa"/>
            <w:shd w:val="clear" w:color="auto" w:themeFill="accent4" w:themeFillTint="10"/>
          </w:tcPr>
          <w:p w14:paraId="DB96C582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6DFF09F6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0DB3FAD4" w14:textId="77777777">
        <w:tc>
          <w:tcPr>
            <w:tcW w:w="2043" w:type="dxa"/>
            <w:shd w:val="clear" w:color="auto" w:themeFill="accent4" w:themeFillTint="20"/>
          </w:tcPr>
          <w:p w14:paraId="7B07B43A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0DC1E3B4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496D6ED6" w14:textId="77777777">
        <w:tc>
          <w:tcPr>
            <w:tcW w:w="2043" w:type="dxa"/>
            <w:shd w:val="clear" w:color="auto" w:themeFill="accent4" w:themeFillTint="10"/>
          </w:tcPr>
          <w:p w14:paraId="94CAE900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1CE33508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7C1EA8FF" w14:textId="77777777">
        <w:tc>
          <w:tcPr>
            <w:tcW w:w="2043" w:type="dxa"/>
            <w:shd w:val="clear" w:color="auto" w:themeFill="accent4" w:themeFillTint="20"/>
          </w:tcPr>
          <w:p w14:paraId="9CE9C3ED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C2DA3F1D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CB015098" w14:textId="77777777">
        <w:tc>
          <w:tcPr>
            <w:tcW w:w="2043" w:type="dxa"/>
            <w:shd w:val="clear" w:color="auto" w:themeFill="accent4" w:themeFillTint="10"/>
          </w:tcPr>
          <w:p w14:paraId="BB6CFE5F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C0FBAE0F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B6B735D3" w14:textId="77777777">
        <w:tc>
          <w:tcPr>
            <w:tcW w:w="2043" w:type="dxa"/>
            <w:shd w:val="clear" w:color="auto" w:themeFill="accent4" w:themeFillTint="20"/>
          </w:tcPr>
          <w:p w14:paraId="A111EB80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0E2DE271" w14:textId="77777777" w:rsidR="00691F0F" w:rsidRDefault="00EA521C">
            <w:r>
              <w:rPr>
                <w:sz w:val="18"/>
              </w:rPr>
              <w:t>2024-09-20, 12:08:33</w:t>
            </w:r>
          </w:p>
        </w:tc>
      </w:tr>
      <w:tr w:rsidR="00691F0F" w14:paraId="2694EB6A" w14:textId="77777777">
        <w:tc>
          <w:tcPr>
            <w:tcW w:w="2043" w:type="dxa"/>
            <w:shd w:val="clear" w:color="auto" w:themeFill="accent4" w:themeFillTint="10"/>
          </w:tcPr>
          <w:p w14:paraId="B717498A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92F59191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DB94C915" w14:textId="77777777">
        <w:tc>
          <w:tcPr>
            <w:tcW w:w="2043" w:type="dxa"/>
            <w:shd w:val="clear" w:color="auto" w:themeFill="accent4" w:themeFillTint="20"/>
          </w:tcPr>
          <w:p w14:paraId="C8B65235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0A4F0DF3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6D59B71F" w14:textId="77777777">
        <w:tc>
          <w:tcPr>
            <w:tcW w:w="2043" w:type="dxa"/>
            <w:shd w:val="clear" w:color="auto" w:themeFill="accent4" w:themeFillTint="10"/>
          </w:tcPr>
          <w:p w14:paraId="E7BE287B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BC9AD5B6" w14:textId="77777777" w:rsidR="00691F0F" w:rsidRDefault="00EA521C">
            <w:r>
              <w:rPr>
                <w:sz w:val="18"/>
              </w:rPr>
              <w:t>sdtab3, patab3</w:t>
            </w:r>
          </w:p>
        </w:tc>
      </w:tr>
      <w:tr w:rsidR="00691F0F" w14:paraId="CACB427D" w14:textId="77777777">
        <w:tc>
          <w:tcPr>
            <w:tcW w:w="2043" w:type="dxa"/>
            <w:shd w:val="clear" w:color="auto" w:themeFill="accent4" w:themeFillTint="20"/>
          </w:tcPr>
          <w:p w14:paraId="AC8DC2AB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392D622E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98DBD93E" w14:textId="77777777">
        <w:tc>
          <w:tcPr>
            <w:tcW w:w="2043" w:type="dxa"/>
            <w:shd w:val="clear" w:color="auto" w:themeFill="accent4" w:themeFillTint="10"/>
          </w:tcPr>
          <w:p w14:paraId="5F532765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7134F0B2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D9AC7FE2" w14:textId="77777777">
        <w:tc>
          <w:tcPr>
            <w:tcW w:w="2043" w:type="dxa"/>
            <w:shd w:val="clear" w:color="auto" w:themeFill="accent4" w:themeFillTint="20"/>
          </w:tcPr>
          <w:p w14:paraId="B65FC705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63620D50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589A8E95" w14:textId="77777777">
        <w:tc>
          <w:tcPr>
            <w:tcW w:w="2043" w:type="dxa"/>
            <w:shd w:val="clear" w:color="auto" w:themeFill="accent4" w:themeFillTint="10"/>
          </w:tcPr>
          <w:p w14:paraId="D4F76D2A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7EEAD4F7" w14:textId="77777777" w:rsidR="00691F0F" w:rsidRDefault="00EA521C">
            <w:r>
              <w:rPr>
                <w:sz w:val="18"/>
              </w:rPr>
              <w:t>3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EF1781A5" w14:textId="77777777">
        <w:tc>
          <w:tcPr>
            <w:tcW w:w="2554" w:type="dxa"/>
            <w:shd w:val="clear" w:color="auto" w:themeFill="accent4" w:themeFillTint="40"/>
          </w:tcPr>
          <w:p w14:paraId="E7DB21EA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31E7BA4D" w14:textId="77777777" w:rsidR="00691F0F" w:rsidRDefault="00EA521C">
            <w:r>
              <w:rPr>
                <w:sz w:val="16"/>
              </w:rPr>
              <w:t>614.298</w:t>
            </w:r>
          </w:p>
        </w:tc>
      </w:tr>
      <w:tr w:rsidR="00691F0F" w14:paraId="4FA63DE9" w14:textId="77777777">
        <w:tc>
          <w:tcPr>
            <w:tcW w:w="2554" w:type="dxa"/>
            <w:shd w:val="clear" w:color="auto" w:themeFill="accent4" w:themeFillTint="30"/>
          </w:tcPr>
          <w:p w14:paraId="B686A40D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D1265DB4" w14:textId="77777777" w:rsidR="00691F0F" w:rsidRDefault="00EA521C">
            <w:r>
              <w:rPr>
                <w:sz w:val="16"/>
              </w:rPr>
              <w:t>minimization successful
no. of function evaluations used:      295
no. of sig. digits in final est.:  3.5
</w:t>
            </w:r>
          </w:p>
        </w:tc>
      </w:tr>
      <w:tr w:rsidR="00691F0F" w14:paraId="C9F203E6" w14:textId="77777777">
        <w:tc>
          <w:tcPr>
            <w:tcW w:w="2554" w:type="dxa"/>
            <w:shd w:val="clear" w:color="auto" w:themeFill="accent4" w:themeFillTint="40"/>
          </w:tcPr>
          <w:p w14:paraId="AE098BBC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64818ADB" w14:textId="77777777" w:rsidR="00691F0F" w:rsidRDefault="00EA521C">
            <w:r>
              <w:rPr>
                <w:sz w:val="16"/>
              </w:rPr>
              <w:t>No boundary problems reported by NONMEM</w:t>
            </w:r>
          </w:p>
        </w:tc>
      </w:tr>
      <w:tr w:rsidR="00691F0F" w14:paraId="54B51E36" w14:textId="77777777">
        <w:tc>
          <w:tcPr>
            <w:tcW w:w="2554" w:type="dxa"/>
            <w:shd w:val="clear" w:color="auto" w:themeFill="accent4" w:themeFillTint="30"/>
          </w:tcPr>
          <w:p w14:paraId="2E418009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BADC9166" w14:textId="77777777" w:rsidR="00691F0F" w:rsidRDefault="00EA521C">
            <w:r>
              <w:rPr>
                <w:sz w:val="16"/>
              </w:rPr>
              <w:t>All gradients non-zero during estimation</w:t>
            </w:r>
          </w:p>
        </w:tc>
      </w:tr>
      <w:tr w:rsidR="00691F0F" w14:paraId="2209A840" w14:textId="77777777">
        <w:tc>
          <w:tcPr>
            <w:tcW w:w="2554" w:type="dxa"/>
            <w:shd w:val="clear" w:color="auto" w:themeFill="accent4" w:themeFillTint="40"/>
          </w:tcPr>
          <w:p w14:paraId="5A61B973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04AF7211" w14:textId="77777777" w:rsidR="00691F0F" w:rsidRDefault="00EA521C">
            <w:r>
              <w:rPr>
                <w:sz w:val="16"/>
              </w:rPr>
              <w:t>299.76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355541FD" w14:textId="77777777">
        <w:tc>
          <w:tcPr>
            <w:tcW w:w="425" w:type="dxa"/>
            <w:shd w:val="clear" w:color="auto" w:themeFill="accent4" w:themeFillTint="80"/>
          </w:tcPr>
          <w:p w14:paraId="3B09B97D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3DD75496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89675D56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84897E14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3B149B87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3DD728BC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2F07466F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7A9F9429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0D380BD3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1613D1ED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767068BE" w14:textId="77777777">
        <w:tc>
          <w:tcPr>
            <w:tcW w:w="425" w:type="dxa"/>
            <w:shd w:val="clear" w:color="auto" w:themeFill="accent4" w:themeFillTint="40"/>
          </w:tcPr>
          <w:p w14:paraId="D884FCE4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F01F4732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437B0B3B" w14:textId="77777777" w:rsidR="00691F0F" w:rsidRDefault="00EA521C">
            <w:r>
              <w:rPr>
                <w:sz w:val="16"/>
              </w:rPr>
              <w:t>7.06E-06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73AD1E67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D4227F67" w14:textId="77777777" w:rsidR="00691F0F" w:rsidRDefault="00EA521C">
            <w:r>
              <w:rPr>
                <w:sz w:val="16"/>
              </w:rPr>
              <w:t>8.39E-07</w:t>
            </w:r>
          </w:p>
        </w:tc>
        <w:tc>
          <w:tcPr>
            <w:tcW w:w="681" w:type="dxa"/>
            <w:shd w:val="clear" w:color="auto" w:themeFill="accent4" w:themeFillTint="40"/>
          </w:tcPr>
          <w:p w14:paraId="3E29F3ED" w14:textId="77777777" w:rsidR="00691F0F" w:rsidRDefault="00EA521C">
            <w:r>
              <w:rPr>
                <w:sz w:val="16"/>
              </w:rPr>
              <w:t>11.9%</w:t>
            </w:r>
          </w:p>
        </w:tc>
        <w:tc>
          <w:tcPr>
            <w:tcW w:w="681" w:type="dxa"/>
            <w:shd w:val="clear" w:color="auto" w:themeFill="accent4" w:themeFillTint="40"/>
          </w:tcPr>
          <w:p w14:paraId="DB21914A" w14:textId="77777777" w:rsidR="00691F0F" w:rsidRDefault="00EA521C">
            <w:r>
              <w:rPr>
                <w:sz w:val="16"/>
              </w:rPr>
              <w:t>5.42E-06-8.7E-06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B498EAF6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0B4400F7" w14:textId="77777777" w:rsidR="00691F0F" w:rsidRDefault="00EA521C">
            <w:r>
              <w:rPr>
                <w:sz w:val="16"/>
              </w:rPr>
              <w:t>4E-06</w:t>
            </w:r>
          </w:p>
        </w:tc>
        <w:tc>
          <w:tcPr>
            <w:tcW w:w="0" w:type="dxa"/>
            <w:shd w:val="clear" w:color="auto" w:themeFill="accent4" w:themeFillTint="40"/>
          </w:tcPr>
          <w:p w14:paraId="651AD5A3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1A02F1CC" w14:textId="77777777">
        <w:tc>
          <w:tcPr>
            <w:tcW w:w="425" w:type="dxa"/>
            <w:shd w:val="clear" w:color="auto" w:themeFill="accent4" w:themeFillTint="30"/>
          </w:tcPr>
          <w:p w14:paraId="6E27D453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B6A66BAE" w14:textId="77777777" w:rsidR="00691F0F" w:rsidRDefault="00EA521C">
            <w:r>
              <w:rPr>
                <w:sz w:val="16"/>
              </w:rPr>
              <w:t>V</w:t>
            </w:r>
          </w:p>
        </w:tc>
        <w:tc>
          <w:tcPr>
            <w:tcW w:w="681" w:type="dxa"/>
            <w:shd w:val="clear" w:color="auto" w:themeFill="accent4" w:themeFillTint="30"/>
          </w:tcPr>
          <w:p w14:paraId="918E357C" w14:textId="77777777" w:rsidR="00691F0F" w:rsidRDefault="00EA521C">
            <w:r>
              <w:rPr>
                <w:sz w:val="16"/>
              </w:rPr>
              <w:t>0.00111</w:t>
            </w:r>
          </w:p>
        </w:tc>
        <w:tc>
          <w:tcPr>
            <w:tcW w:w="681" w:type="dxa"/>
            <w:shd w:val="clear" w:color="auto" w:themeFill="accent4" w:themeFillTint="30"/>
          </w:tcPr>
          <w:p w14:paraId="EF4C83A2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1C919DC5" w14:textId="77777777" w:rsidR="00691F0F" w:rsidRDefault="00EA521C">
            <w:r>
              <w:rPr>
                <w:sz w:val="16"/>
              </w:rPr>
              <w:t>0.000168</w:t>
            </w:r>
          </w:p>
        </w:tc>
        <w:tc>
          <w:tcPr>
            <w:tcW w:w="681" w:type="dxa"/>
            <w:shd w:val="clear" w:color="auto" w:themeFill="accent4" w:themeFillTint="30"/>
          </w:tcPr>
          <w:p w14:paraId="05F29114" w14:textId="77777777" w:rsidR="00691F0F" w:rsidRDefault="00EA521C">
            <w:r>
              <w:rPr>
                <w:sz w:val="16"/>
              </w:rPr>
              <w:t>15.1%</w:t>
            </w:r>
          </w:p>
        </w:tc>
        <w:tc>
          <w:tcPr>
            <w:tcW w:w="681" w:type="dxa"/>
            <w:shd w:val="clear" w:color="auto" w:themeFill="accent4" w:themeFillTint="30"/>
          </w:tcPr>
          <w:p w14:paraId="E1640AC8" w14:textId="77777777" w:rsidR="00691F0F" w:rsidRDefault="00EA521C">
            <w:r>
              <w:rPr>
                <w:sz w:val="16"/>
              </w:rPr>
              <w:t>0.000781-0.00144</w:t>
            </w:r>
          </w:p>
        </w:tc>
        <w:tc>
          <w:tcPr>
            <w:tcW w:w="681" w:type="dxa"/>
            <w:shd w:val="clear" w:color="auto" w:themeFill="accent4" w:themeFillTint="30"/>
          </w:tcPr>
          <w:p w14:paraId="3D0BECAD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00A26A21" w14:textId="77777777" w:rsidR="00691F0F" w:rsidRDefault="00EA521C">
            <w:r>
              <w:rPr>
                <w:sz w:val="16"/>
              </w:rPr>
              <w:t>0.0007</w:t>
            </w:r>
          </w:p>
        </w:tc>
        <w:tc>
          <w:tcPr>
            <w:tcW w:w="0" w:type="dxa"/>
            <w:shd w:val="clear" w:color="auto" w:themeFill="accent4" w:themeFillTint="30"/>
          </w:tcPr>
          <w:p w14:paraId="F291F2B6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22B02D14" w14:textId="77777777">
        <w:tc>
          <w:tcPr>
            <w:tcW w:w="425" w:type="dxa"/>
            <w:shd w:val="clear" w:color="auto" w:themeFill="accent4" w:themeFillTint="40"/>
          </w:tcPr>
          <w:p w14:paraId="9D38C891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38FEF176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FCA1C331" w14:textId="77777777" w:rsidR="00691F0F" w:rsidRDefault="00EA521C">
            <w:r>
              <w:rPr>
                <w:sz w:val="16"/>
              </w:rPr>
              <w:t>0.0249</w:t>
            </w:r>
          </w:p>
        </w:tc>
        <w:tc>
          <w:tcPr>
            <w:tcW w:w="681" w:type="dxa"/>
            <w:shd w:val="clear" w:color="auto" w:themeFill="accent4" w:themeFillTint="40"/>
          </w:tcPr>
          <w:p w14:paraId="71FF3E46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C2A265E2" w14:textId="77777777" w:rsidR="00691F0F" w:rsidRDefault="00EA521C">
            <w:r>
              <w:rPr>
                <w:sz w:val="16"/>
              </w:rPr>
              <w:t>0.02</w:t>
            </w:r>
          </w:p>
        </w:tc>
        <w:tc>
          <w:tcPr>
            <w:tcW w:w="681" w:type="dxa"/>
            <w:shd w:val="clear" w:color="auto" w:themeFill="accent4" w:themeFillTint="40"/>
          </w:tcPr>
          <w:p w14:paraId="4B2A4AB9" w14:textId="77777777" w:rsidR="00691F0F" w:rsidRDefault="00EA521C">
            <w:r>
              <w:rPr>
                <w:sz w:val="16"/>
              </w:rPr>
              <w:t>80.3%</w:t>
            </w:r>
          </w:p>
        </w:tc>
        <w:tc>
          <w:tcPr>
            <w:tcW w:w="681" w:type="dxa"/>
            <w:shd w:val="clear" w:color="auto" w:themeFill="accent4" w:themeFillTint="40"/>
          </w:tcPr>
          <w:p w14:paraId="8D6EAC3B" w14:textId="77777777" w:rsidR="00691F0F" w:rsidRDefault="00EA521C">
            <w:r>
              <w:rPr>
                <w:sz w:val="16"/>
              </w:rPr>
              <w:t>-0.0143-0.0641</w:t>
            </w:r>
          </w:p>
        </w:tc>
        <w:tc>
          <w:tcPr>
            <w:tcW w:w="681" w:type="dxa"/>
            <w:shd w:val="clear" w:color="auto" w:themeFill="accent4" w:themeFillTint="40"/>
          </w:tcPr>
          <w:p w14:paraId="41F3065B" w14:textId="77777777" w:rsidR="00691F0F" w:rsidRDefault="00EA521C">
            <w:r>
              <w:rPr>
                <w:sz w:val="16"/>
              </w:rPr>
              <w:t>-Inf</w:t>
            </w:r>
          </w:p>
        </w:tc>
        <w:tc>
          <w:tcPr>
            <w:tcW w:w="0" w:type="dxa"/>
            <w:shd w:val="clear" w:color="auto" w:themeFill="accent4" w:themeFillTint="40"/>
          </w:tcPr>
          <w:p w14:paraId="DF38B989" w14:textId="77777777" w:rsidR="00691F0F" w:rsidRDefault="00EA521C">
            <w:r>
              <w:rPr>
                <w:sz w:val="16"/>
              </w:rPr>
              <w:t>1000</w:t>
            </w:r>
          </w:p>
        </w:tc>
        <w:tc>
          <w:tcPr>
            <w:tcW w:w="0" w:type="dxa"/>
            <w:shd w:val="clear" w:color="auto" w:themeFill="accent4" w:themeFillTint="40"/>
          </w:tcPr>
          <w:p w14:paraId="5F8BE455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0540069A" w14:textId="77777777">
        <w:tc>
          <w:tcPr>
            <w:tcW w:w="425" w:type="dxa"/>
            <w:shd w:val="clear" w:color="auto" w:themeFill="accent4" w:themeFillTint="30"/>
          </w:tcPr>
          <w:p w14:paraId="9F826EC6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A78BE953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86C751A7" w14:textId="77777777" w:rsidR="00691F0F" w:rsidRDefault="00EA521C">
            <w:r>
              <w:rPr>
                <w:sz w:val="16"/>
              </w:rPr>
              <w:t>0.55</w:t>
            </w:r>
          </w:p>
        </w:tc>
        <w:tc>
          <w:tcPr>
            <w:tcW w:w="681" w:type="dxa"/>
            <w:shd w:val="clear" w:color="auto" w:themeFill="accent4" w:themeFillTint="30"/>
          </w:tcPr>
          <w:p w14:paraId="AA64A324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B65E5C9B" w14:textId="77777777" w:rsidR="00691F0F" w:rsidRDefault="00EA521C">
            <w:r>
              <w:rPr>
                <w:sz w:val="16"/>
              </w:rPr>
              <w:t>0.0755</w:t>
            </w:r>
          </w:p>
        </w:tc>
        <w:tc>
          <w:tcPr>
            <w:tcW w:w="681" w:type="dxa"/>
            <w:shd w:val="clear" w:color="auto" w:themeFill="accent4" w:themeFillTint="30"/>
          </w:tcPr>
          <w:p w14:paraId="CCB41FFD" w14:textId="77777777" w:rsidR="00691F0F" w:rsidRDefault="00EA521C">
            <w:r>
              <w:rPr>
                <w:sz w:val="16"/>
              </w:rPr>
              <w:t>13.7%</w:t>
            </w:r>
          </w:p>
        </w:tc>
        <w:tc>
          <w:tcPr>
            <w:tcW w:w="681" w:type="dxa"/>
            <w:shd w:val="clear" w:color="auto" w:themeFill="accent4" w:themeFillTint="30"/>
          </w:tcPr>
          <w:p w14:paraId="D027DFAF" w14:textId="77777777" w:rsidR="00691F0F" w:rsidRDefault="00EA521C">
            <w:r>
              <w:rPr>
                <w:sz w:val="16"/>
              </w:rPr>
              <w:t>0.402-0.698</w:t>
            </w:r>
          </w:p>
        </w:tc>
        <w:tc>
          <w:tcPr>
            <w:tcW w:w="681" w:type="dxa"/>
            <w:shd w:val="clear" w:color="auto" w:themeFill="accent4" w:themeFillTint="30"/>
          </w:tcPr>
          <w:p w14:paraId="F9B5592D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E2530EF3" w14:textId="77777777" w:rsidR="00691F0F" w:rsidRDefault="00EA521C">
            <w:r>
              <w:rPr>
                <w:sz w:val="16"/>
              </w:rPr>
              <w:t>0.1</w:t>
            </w:r>
          </w:p>
        </w:tc>
        <w:tc>
          <w:tcPr>
            <w:tcW w:w="0" w:type="dxa"/>
            <w:shd w:val="clear" w:color="auto" w:themeFill="accent4" w:themeFillTint="30"/>
          </w:tcPr>
          <w:p w14:paraId="0EDF7427" w14:textId="77777777" w:rsidR="00691F0F" w:rsidRDefault="00EA521C">
            <w:r>
              <w:rPr>
                <w:sz w:val="16"/>
              </w:rPr>
              <w:t>+Inf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0CF1289A" w14:textId="77777777">
        <w:tc>
          <w:tcPr>
            <w:tcW w:w="425" w:type="dxa"/>
            <w:shd w:val="clear" w:color="auto" w:themeFill="accent4" w:themeFillTint="80"/>
          </w:tcPr>
          <w:p w14:paraId="0E1AE2FC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EAA0CA46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46233109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5FD927E2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30AFD333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1E99F69B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F67EB9D3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35F16724" w14:textId="77777777" w:rsidR="00691F0F" w:rsidRDefault="00EA521C">
            <w:r>
              <w:rPr>
                <w:sz w:val="14"/>
              </w:rPr>
              <w:t>Shrinkage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AE94A143" w14:textId="77777777">
        <w:tc>
          <w:tcPr>
            <w:tcW w:w="425" w:type="dxa"/>
            <w:shd w:val="clear" w:color="auto" w:themeFill="accent4" w:themeFillTint="80"/>
          </w:tcPr>
          <w:p w14:paraId="7216E8D7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560CC80B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18C65BF2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91A3134F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DA770D7B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DFCFE962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7597073F" w14:textId="77777777">
        <w:tc>
          <w:tcPr>
            <w:tcW w:w="425" w:type="dxa"/>
          </w:tcPr>
          <w:p w14:paraId="E1768B1E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</w:tcPr>
          <w:p w14:paraId="815333A8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C2A751BE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</w:tcPr>
          <w:p w14:paraId="71C27625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</w:tcPr>
          <w:p w14:paraId="76830305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</w:tcPr>
          <w:p w14:paraId="93031335" w14:textId="77777777" w:rsidR="00691F0F" w:rsidRDefault="00EA521C">
            <w:r>
              <w:rPr>
                <w:sz w:val="14"/>
              </w:rPr>
              <w:t>0.1%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12:09:56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