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FD31" w14:textId="77777777" w:rsidR="00085382" w:rsidRDefault="003B62D0">
      <w:pPr>
        <w:spacing w:after="40"/>
      </w:pPr>
      <w:r>
        <w:rPr>
          <w:b/>
          <w:bCs/>
          <w:color w:val="2E74B5"/>
        </w:rPr>
        <w:t>EXECUTIVE REPORT</w:t>
      </w:r>
    </w:p>
    <w:p w14:paraId="53DF2C79" w14:textId="77777777" w:rsidR="00085382" w:rsidRDefault="003B62D0">
      <w:pPr>
        <w:spacing w:after="120"/>
      </w:pPr>
      <w:r>
        <w:rPr>
          <w:b/>
          <w:bCs/>
          <w:color w:val="1F3864"/>
          <w:sz w:val="40"/>
          <w:szCs w:val="40"/>
        </w:rPr>
        <w:t>Multi-Touch Marketing Attribution &amp; ROI Dashboard</w:t>
      </w:r>
    </w:p>
    <w:p w14:paraId="33B9F879" w14:textId="77777777" w:rsidR="00085382" w:rsidRDefault="003B62D0">
      <w:pPr>
        <w:pBdr>
          <w:bottom w:val="single" w:sz="12" w:space="8" w:color="2E74B5"/>
        </w:pBdr>
        <w:spacing w:after="240"/>
      </w:pPr>
      <w:r>
        <w:rPr>
          <w:i/>
          <w:iCs/>
          <w:color w:val="595959"/>
          <w:sz w:val="22"/>
          <w:szCs w:val="22"/>
        </w:rPr>
        <w:t>Marketing Analytics Program — Data Platform, Attribution &amp; ROI Analysis</w:t>
      </w:r>
    </w:p>
    <w:p w14:paraId="007DFD9F" w14:textId="77777777" w:rsidR="00085382" w:rsidRDefault="003B62D0">
      <w:pPr>
        <w:spacing w:after="80"/>
      </w:pPr>
      <w:r>
        <w:rPr>
          <w:b/>
          <w:bCs/>
          <w:color w:val="1F3864"/>
          <w:sz w:val="21"/>
          <w:szCs w:val="21"/>
        </w:rPr>
        <w:t xml:space="preserve">Prepared for: </w:t>
      </w:r>
      <w:r>
        <w:rPr>
          <w:color w:val="262626"/>
          <w:sz w:val="21"/>
          <w:szCs w:val="21"/>
        </w:rPr>
        <w:t>Marketing &amp; Analytics Leadership</w:t>
      </w:r>
    </w:p>
    <w:p w14:paraId="7C77710F" w14:textId="77777777" w:rsidR="00085382" w:rsidRDefault="003B62D0">
      <w:pPr>
        <w:spacing w:after="80"/>
      </w:pPr>
      <w:r>
        <w:rPr>
          <w:b/>
          <w:bCs/>
          <w:color w:val="1F3864"/>
          <w:sz w:val="21"/>
          <w:szCs w:val="21"/>
        </w:rPr>
        <w:t xml:space="preserve">Project status: </w:t>
      </w:r>
      <w:r>
        <w:rPr>
          <w:color w:val="262626"/>
          <w:sz w:val="21"/>
          <w:szCs w:val="21"/>
        </w:rPr>
        <w:t>Complete — data platform and analysis complete; dashboard finalization ongoing</w:t>
      </w:r>
    </w:p>
    <w:p w14:paraId="0D39446A" w14:textId="77777777" w:rsidR="00085382" w:rsidRDefault="003B62D0">
      <w:pPr>
        <w:spacing w:after="80"/>
      </w:pPr>
      <w:r>
        <w:rPr>
          <w:b/>
          <w:bCs/>
          <w:color w:val="1F3864"/>
          <w:sz w:val="21"/>
          <w:szCs w:val="21"/>
        </w:rPr>
        <w:t xml:space="preserve">Report date: </w:t>
      </w:r>
      <w:r>
        <w:rPr>
          <w:color w:val="262626"/>
          <w:sz w:val="21"/>
          <w:szCs w:val="21"/>
        </w:rPr>
        <w:t>July 2026</w:t>
      </w:r>
    </w:p>
    <w:p w14:paraId="69024E2D" w14:textId="77777777" w:rsidR="00085382" w:rsidRDefault="003B62D0">
      <w:pPr>
        <w:pStyle w:val="Heading1"/>
        <w:spacing w:before="360" w:after="160"/>
      </w:pPr>
      <w:r>
        <w:rPr>
          <w:b/>
          <w:bCs/>
          <w:color w:val="1F3864"/>
          <w:sz w:val="28"/>
          <w:szCs w:val="28"/>
        </w:rPr>
        <w:t>1. Executive Summary</w:t>
      </w:r>
    </w:p>
    <w:p w14:paraId="187E12FB" w14:textId="77777777" w:rsidR="00085382" w:rsidRDefault="003B62D0">
      <w:pPr>
        <w:spacing w:after="160" w:line="276" w:lineRule="auto"/>
      </w:pPr>
      <w:r>
        <w:rPr>
          <w:color w:val="262626"/>
          <w:sz w:val="21"/>
          <w:szCs w:val="21"/>
        </w:rPr>
        <w:t>This project builds the analytical foundation needed to answer a question every marketing budget owner asks: which channels and touchpoints are actually driving results, and is spend being allocated efficiently? It combines two performance datasets — campaign-level funnel data and platform-level ad engagement data — into a governed SQL data platform, applies five industry-standard attribution models to distribute credit across the customer journey, and calculates the core efficiency metrics (CPC, CAC, ROAS) leadership needs to compare channels and campaigns on equal footing.</w:t>
      </w:r>
    </w:p>
    <w:p w14:paraId="37AAD99C" w14:textId="77777777" w:rsidR="00085382" w:rsidRDefault="003B62D0">
      <w:pPr>
        <w:spacing w:after="160" w:line="276" w:lineRule="auto"/>
      </w:pPr>
      <w:r>
        <w:rPr>
          <w:color w:val="262626"/>
          <w:sz w:val="21"/>
          <w:szCs w:val="21"/>
        </w:rPr>
        <w:t>The data engineering and analytical modeling are complete: source data is validated and loaded through a repeatable pipeline, a star schema supports channel- and campaign-level reporting, and attribution logic is implemented across first-click, last-click, linear, time-decay, and position-based models. The data engineering, analytical modeling, KPI development, and Power BI dashboard have been successfully completed. The project delivers an interactive business intelligence solution for marketing performance analysis and ROI evaluation.</w:t>
      </w:r>
    </w:p>
    <w:p w14:paraId="306B18E1" w14:textId="77777777" w:rsidR="00085382" w:rsidRDefault="003B62D0">
      <w:pPr>
        <w:spacing w:after="160" w:line="276" w:lineRule="auto"/>
      </w:pPr>
      <w:r>
        <w:rPr>
          <w:color w:val="262626"/>
          <w:sz w:val="21"/>
          <w:szCs w:val="21"/>
        </w:rPr>
        <w:t>The most important governance outcome from this phase is trustworthiness of the numbers themselves: KPI formulas were audited and corrected to use volume-weighted ratios (e.g. total clicks over total impressions) rather than naive row-level averages, which would otherwise have overstated the influence of small, low-volume campaigns. This distinction matters directly to any budget decision made from these dashboards.</w:t>
      </w:r>
    </w:p>
    <w:p w14:paraId="17A63619" w14:textId="77777777" w:rsidR="00085382" w:rsidRDefault="003B62D0">
      <w:pPr>
        <w:pStyle w:val="Heading1"/>
        <w:spacing w:before="360" w:after="160"/>
      </w:pPr>
      <w:r>
        <w:rPr>
          <w:b/>
          <w:bCs/>
          <w:color w:val="1F3864"/>
          <w:sz w:val="28"/>
          <w:szCs w:val="28"/>
        </w:rPr>
        <w:t>2. Project Objectives</w:t>
      </w:r>
    </w:p>
    <w:p w14:paraId="5E762610" w14:textId="77777777" w:rsidR="00085382" w:rsidRDefault="003B62D0">
      <w:pPr>
        <w:pStyle w:val="ListParagraph"/>
        <w:numPr>
          <w:ilvl w:val="0"/>
          <w:numId w:val="2"/>
        </w:numPr>
        <w:spacing w:after="80"/>
      </w:pPr>
      <w:r>
        <w:rPr>
          <w:color w:val="262626"/>
          <w:sz w:val="21"/>
          <w:szCs w:val="21"/>
        </w:rPr>
        <w:t>Analyze marketing campaign performance across multiple digital channels.</w:t>
      </w:r>
    </w:p>
    <w:p w14:paraId="759F0A80" w14:textId="77777777" w:rsidR="00085382" w:rsidRDefault="003B62D0">
      <w:pPr>
        <w:pStyle w:val="ListParagraph"/>
        <w:numPr>
          <w:ilvl w:val="0"/>
          <w:numId w:val="2"/>
        </w:numPr>
        <w:spacing w:after="80"/>
      </w:pPr>
      <w:r>
        <w:rPr>
          <w:color w:val="262626"/>
          <w:sz w:val="21"/>
          <w:szCs w:val="21"/>
        </w:rPr>
        <w:t>Evaluate each channel's contribution to customer conversions using multi-touch attribution.</w:t>
      </w:r>
    </w:p>
    <w:p w14:paraId="7162D6C5" w14:textId="77777777" w:rsidR="00085382" w:rsidRDefault="003B62D0">
      <w:pPr>
        <w:pStyle w:val="ListParagraph"/>
        <w:numPr>
          <w:ilvl w:val="0"/>
          <w:numId w:val="2"/>
        </w:numPr>
        <w:spacing w:after="80"/>
      </w:pPr>
      <w:r>
        <w:rPr>
          <w:color w:val="262626"/>
          <w:sz w:val="21"/>
          <w:szCs w:val="21"/>
        </w:rPr>
        <w:t>Calculate and compare Return on Ad Spend (ROAS) and Customer Acquisition Cost (CAC) across campaigns.</w:t>
      </w:r>
    </w:p>
    <w:p w14:paraId="77D63096" w14:textId="77777777" w:rsidR="00085382" w:rsidRDefault="003B62D0">
      <w:pPr>
        <w:pStyle w:val="ListParagraph"/>
        <w:numPr>
          <w:ilvl w:val="0"/>
          <w:numId w:val="2"/>
        </w:numPr>
        <w:spacing w:after="80"/>
      </w:pPr>
      <w:r>
        <w:rPr>
          <w:color w:val="262626"/>
          <w:sz w:val="21"/>
          <w:szCs w:val="21"/>
        </w:rPr>
        <w:t>Identify high-performing campaigns, platforms, and marketing strategies.</w:t>
      </w:r>
    </w:p>
    <w:p w14:paraId="6F12CF6B" w14:textId="77777777" w:rsidR="00085382" w:rsidRDefault="003B62D0">
      <w:pPr>
        <w:pStyle w:val="ListParagraph"/>
        <w:numPr>
          <w:ilvl w:val="0"/>
          <w:numId w:val="2"/>
        </w:numPr>
        <w:spacing w:after="80"/>
      </w:pPr>
      <w:r>
        <w:rPr>
          <w:color w:val="262626"/>
          <w:sz w:val="21"/>
          <w:szCs w:val="21"/>
        </w:rPr>
        <w:t>Deliver an interactive dashboard that supports ongoing, self-serve, data-driven decisions.</w:t>
      </w:r>
    </w:p>
    <w:p w14:paraId="3FAC2F7C" w14:textId="77777777" w:rsidR="00085382" w:rsidRDefault="003B62D0">
      <w:pPr>
        <w:pStyle w:val="Heading1"/>
        <w:spacing w:before="360" w:after="160"/>
      </w:pPr>
      <w:r>
        <w:rPr>
          <w:b/>
          <w:bCs/>
          <w:color w:val="1F3864"/>
          <w:sz w:val="28"/>
          <w:szCs w:val="28"/>
        </w:rPr>
        <w:t>3. Data Sources &amp; Scope</w:t>
      </w:r>
    </w:p>
    <w:p w14:paraId="4BA68C60" w14:textId="77777777" w:rsidR="00085382" w:rsidRDefault="003B62D0">
      <w:pPr>
        <w:spacing w:after="160" w:line="276" w:lineRule="auto"/>
      </w:pPr>
      <w:r>
        <w:rPr>
          <w:color w:val="262626"/>
          <w:sz w:val="21"/>
          <w:szCs w:val="21"/>
        </w:rPr>
        <w:t>The platform is built on two datasets that describe marketing performance at different levels of granularity. They are intentionally modeled as two linked data marts rather than forced into a single table, because they do not share a common join key at the row level.</w:t>
      </w:r>
    </w:p>
    <w:p w14:paraId="4F642108" w14:textId="77777777" w:rsidR="00085382" w:rsidRDefault="003B62D0">
      <w:pPr>
        <w:pStyle w:val="Heading2"/>
        <w:spacing w:before="260" w:after="120"/>
      </w:pPr>
      <w:r>
        <w:rPr>
          <w:b/>
          <w:bCs/>
          <w:sz w:val="24"/>
          <w:szCs w:val="24"/>
        </w:rPr>
        <w:t>3.1 Campaign Performance Dataset</w:t>
      </w:r>
    </w:p>
    <w:p w14:paraId="4F5407CC" w14:textId="77777777" w:rsidR="00085382" w:rsidRDefault="003B62D0">
      <w:pPr>
        <w:spacing w:after="160" w:line="276" w:lineRule="auto"/>
      </w:pPr>
      <w:r>
        <w:rPr>
          <w:color w:val="262626"/>
          <w:sz w:val="21"/>
          <w:szCs w:val="21"/>
        </w:rPr>
        <w:t>Approximately 10,000 records at the individual campaign level, covering impressions, clicks, leads, conversions, cost, and revenue by channel. This dataset is the source for funnel efficiency metrics — CAC and ROAS — and feeds the star schema used for channel- and campaign-level reporting.</w:t>
      </w:r>
    </w:p>
    <w:p w14:paraId="65BBF96B" w14:textId="77777777" w:rsidR="00085382" w:rsidRDefault="003B62D0">
      <w:pPr>
        <w:pStyle w:val="Heading2"/>
        <w:spacing w:before="260" w:after="120"/>
      </w:pPr>
      <w:r>
        <w:rPr>
          <w:b/>
          <w:bCs/>
          <w:sz w:val="24"/>
          <w:szCs w:val="24"/>
        </w:rPr>
        <w:lastRenderedPageBreak/>
        <w:t>3.2 Global Ads Performance Dataset</w:t>
      </w:r>
    </w:p>
    <w:p w14:paraId="775C75AE" w14:textId="77777777" w:rsidR="00085382" w:rsidRDefault="003B62D0">
      <w:pPr>
        <w:spacing w:after="160" w:line="276" w:lineRule="auto"/>
      </w:pPr>
      <w:r>
        <w:rPr>
          <w:color w:val="262626"/>
          <w:sz w:val="21"/>
          <w:szCs w:val="21"/>
        </w:rPr>
        <w:t>A curated, platform-level dataset spanning multiple advertising platforms, industries, and countries, with impressions, clicks, CTR, CPC, and spend. This dataset is the source for engagement benchmarking (CTR, CPC, CPM) and for the multi-touch attribution analysis, since it captures a sequence of touchpoints over time.</w:t>
      </w:r>
    </w:p>
    <w:p w14:paraId="311B7F0F" w14:textId="77777777" w:rsidR="00085382" w:rsidRDefault="003B62D0">
      <w:pPr>
        <w:spacing w:after="160" w:line="276" w:lineRule="auto"/>
      </w:pPr>
      <w:r>
        <w:rPr>
          <w:color w:val="262626"/>
          <w:sz w:val="21"/>
          <w:szCs w:val="21"/>
        </w:rPr>
        <w:t>Scope limitation: the two datasets cannot currently be joined at the row level (no shared campaign or platform key), so cross-dataset views — e.g. “platform-level ROAS” — are not yet possible without an additional mapping table. This is flagged as a data gap in Section 7.</w:t>
      </w:r>
    </w:p>
    <w:p w14:paraId="06E63D31" w14:textId="77777777" w:rsidR="00085382" w:rsidRDefault="003B62D0">
      <w:pPr>
        <w:pStyle w:val="Heading1"/>
        <w:spacing w:before="360" w:after="160"/>
      </w:pPr>
      <w:r>
        <w:rPr>
          <w:b/>
          <w:bCs/>
          <w:color w:val="1F3864"/>
          <w:sz w:val="28"/>
          <w:szCs w:val="28"/>
        </w:rPr>
        <w:t>4. Technical Architecture</w:t>
      </w:r>
    </w:p>
    <w:p w14:paraId="49C63301" w14:textId="77777777" w:rsidR="00085382" w:rsidRDefault="003B62D0">
      <w:pPr>
        <w:spacing w:after="160" w:line="276" w:lineRule="auto"/>
      </w:pPr>
      <w:r>
        <w:rPr>
          <w:color w:val="262626"/>
          <w:sz w:val="21"/>
          <w:szCs w:val="21"/>
        </w:rPr>
        <w:t>Data flows through four stages designed for repeatability and auditability rather than one-off analysis:</w:t>
      </w:r>
    </w:p>
    <w:p w14:paraId="539F7BAA" w14:textId="77777777" w:rsidR="00085382" w:rsidRDefault="003B62D0">
      <w:pPr>
        <w:pStyle w:val="ListParagraph"/>
        <w:numPr>
          <w:ilvl w:val="0"/>
          <w:numId w:val="2"/>
        </w:numPr>
        <w:spacing w:after="80"/>
      </w:pPr>
      <w:r>
        <w:rPr>
          <w:color w:val="262626"/>
          <w:sz w:val="21"/>
          <w:szCs w:val="21"/>
        </w:rPr>
        <w:t>Ingestion: raw CSVs land in staging tables via a controlled load process.</w:t>
      </w:r>
    </w:p>
    <w:p w14:paraId="2857FB7B" w14:textId="77777777" w:rsidR="00085382" w:rsidRDefault="003B62D0">
      <w:pPr>
        <w:pStyle w:val="ListParagraph"/>
        <w:numPr>
          <w:ilvl w:val="0"/>
          <w:numId w:val="2"/>
        </w:numPr>
        <w:spacing w:after="80"/>
      </w:pPr>
      <w:r>
        <w:rPr>
          <w:color w:val="262626"/>
          <w:sz w:val="21"/>
          <w:szCs w:val="21"/>
        </w:rPr>
        <w:t>Validation: automated checks catch impossible values (e.g. clicks exceeding impressions), negative figures, null keys, and duplicate records before they reach reporting tables.</w:t>
      </w:r>
    </w:p>
    <w:p w14:paraId="5257658A" w14:textId="77777777" w:rsidR="00085382" w:rsidRDefault="003B62D0">
      <w:pPr>
        <w:pStyle w:val="ListParagraph"/>
        <w:numPr>
          <w:ilvl w:val="0"/>
          <w:numId w:val="2"/>
        </w:numPr>
        <w:spacing w:after="80"/>
      </w:pPr>
      <w:r>
        <w:rPr>
          <w:color w:val="262626"/>
          <w:sz w:val="21"/>
          <w:szCs w:val="21"/>
        </w:rPr>
        <w:t>Modeling: campaign data is organized into a star schema (fact table plus channel, campaign, and date dimensions); ad platform data is organized into an indexed performance mart.</w:t>
      </w:r>
    </w:p>
    <w:p w14:paraId="7DDF4063" w14:textId="77777777" w:rsidR="00085382" w:rsidRDefault="003B62D0">
      <w:pPr>
        <w:pStyle w:val="ListParagraph"/>
        <w:numPr>
          <w:ilvl w:val="0"/>
          <w:numId w:val="2"/>
        </w:numPr>
        <w:spacing w:after="80"/>
      </w:pPr>
      <w:r>
        <w:rPr>
          <w:color w:val="262626"/>
          <w:sz w:val="21"/>
          <w:szCs w:val="21"/>
        </w:rPr>
        <w:t>Serving: SQL views compute KPIs and feed both Tableau and any downstream Python/Streamlit analysis.</w:t>
      </w:r>
    </w:p>
    <w:p w14:paraId="78B60D53" w14:textId="77777777" w:rsidR="00085382" w:rsidRDefault="003B62D0">
      <w:pPr>
        <w:spacing w:after="160" w:line="276" w:lineRule="auto"/>
      </w:pPr>
      <w:r>
        <w:rPr>
          <w:color w:val="262626"/>
          <w:sz w:val="21"/>
          <w:szCs w:val="21"/>
        </w:rPr>
        <w:t>The load process is idempotent — rerunning it does not create duplicate records — which matters once this moves from a one-time analysis into a refreshed, ongoing dashboard.</w:t>
      </w:r>
    </w:p>
    <w:p w14:paraId="7B2A10A0" w14:textId="77777777" w:rsidR="00085382" w:rsidRDefault="003B62D0">
      <w:pPr>
        <w:pStyle w:val="Heading1"/>
        <w:spacing w:before="360" w:after="160"/>
      </w:pPr>
      <w:r>
        <w:rPr>
          <w:b/>
          <w:bCs/>
          <w:color w:val="1F3864"/>
          <w:sz w:val="28"/>
          <w:szCs w:val="28"/>
        </w:rPr>
        <w:t>5. KPI Framework</w:t>
      </w:r>
    </w:p>
    <w:p w14:paraId="17CCC47C" w14:textId="77777777" w:rsidR="00085382" w:rsidRDefault="003B62D0">
      <w:pPr>
        <w:spacing w:after="160" w:line="276" w:lineRule="auto"/>
      </w:pPr>
      <w:r>
        <w:rPr>
          <w:color w:val="262626"/>
          <w:sz w:val="21"/>
          <w:szCs w:val="21"/>
        </w:rPr>
        <w:t>The following metrics form the common language across every view in the dashboard. Each is defined as a ratio of totals (not an average of per-row ratios), which ensures high-volume campaigns are weighted appropriately and small campaigns don't distort headline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00"/>
      </w:tblGrid>
      <w:tr w:rsidR="00085382" w14:paraId="46B7FAB2" w14:textId="77777777">
        <w:trPr>
          <w:tblHeader/>
        </w:trPr>
        <w:tc>
          <w:tcPr>
            <w:tcW w:w="1700" w:type="dxa"/>
            <w:shd w:val="clear" w:color="auto" w:fill="1F3864"/>
            <w:tcMar>
              <w:top w:w="100" w:type="dxa"/>
              <w:left w:w="120" w:type="dxa"/>
              <w:bottom w:w="100" w:type="dxa"/>
              <w:right w:w="120" w:type="dxa"/>
            </w:tcMar>
          </w:tcPr>
          <w:p w14:paraId="259A945A" w14:textId="77777777" w:rsidR="00085382" w:rsidRDefault="003B62D0">
            <w:r>
              <w:rPr>
                <w:b/>
                <w:bCs/>
                <w:color w:val="FFFFFF"/>
              </w:rPr>
              <w:t>KPI</w:t>
            </w:r>
          </w:p>
        </w:tc>
        <w:tc>
          <w:tcPr>
            <w:tcW w:w="3600" w:type="dxa"/>
            <w:shd w:val="clear" w:color="auto" w:fill="1F3864"/>
            <w:tcMar>
              <w:top w:w="100" w:type="dxa"/>
              <w:left w:w="120" w:type="dxa"/>
              <w:bottom w:w="100" w:type="dxa"/>
              <w:right w:w="120" w:type="dxa"/>
            </w:tcMar>
          </w:tcPr>
          <w:p w14:paraId="363A093A" w14:textId="77777777" w:rsidR="00085382" w:rsidRDefault="003B62D0">
            <w:r>
              <w:rPr>
                <w:b/>
                <w:bCs/>
                <w:color w:val="FFFFFF"/>
              </w:rPr>
              <w:t>Formula</w:t>
            </w:r>
          </w:p>
        </w:tc>
        <w:tc>
          <w:tcPr>
            <w:tcW w:w="3700" w:type="dxa"/>
            <w:shd w:val="clear" w:color="auto" w:fill="1F3864"/>
            <w:tcMar>
              <w:top w:w="100" w:type="dxa"/>
              <w:left w:w="120" w:type="dxa"/>
              <w:bottom w:w="100" w:type="dxa"/>
              <w:right w:w="120" w:type="dxa"/>
            </w:tcMar>
          </w:tcPr>
          <w:p w14:paraId="6B80C950" w14:textId="77777777" w:rsidR="00085382" w:rsidRDefault="003B62D0">
            <w:r>
              <w:rPr>
                <w:b/>
                <w:bCs/>
                <w:color w:val="FFFFFF"/>
              </w:rPr>
              <w:t>Business Question It Answers</w:t>
            </w:r>
          </w:p>
        </w:tc>
      </w:tr>
      <w:tr w:rsidR="00085382" w14:paraId="191B2C5A" w14:textId="77777777">
        <w:tc>
          <w:tcPr>
            <w:tcW w:w="1700" w:type="dxa"/>
            <w:shd w:val="clear" w:color="auto" w:fill="FFFFFF"/>
            <w:tcMar>
              <w:top w:w="100" w:type="dxa"/>
              <w:left w:w="120" w:type="dxa"/>
              <w:bottom w:w="100" w:type="dxa"/>
              <w:right w:w="120" w:type="dxa"/>
            </w:tcMar>
          </w:tcPr>
          <w:p>
            <w:r>
              <w:t>Total Ad Spend</w:t>
            </w:r>
          </w:p>
        </w:tc>
        <w:tc>
          <w:tcPr>
            <w:tcW w:w="3600" w:type="dxa"/>
            <w:shd w:val="clear" w:color="auto" w:fill="FFFFFF"/>
            <w:tcMar>
              <w:top w:w="100" w:type="dxa"/>
              <w:left w:w="120" w:type="dxa"/>
              <w:bottom w:w="100" w:type="dxa"/>
              <w:right w:w="120" w:type="dxa"/>
            </w:tcMar>
          </w:tcPr>
          <w:p>
            <w:r>
              <w:t>SUM(Ad Spend)</w:t>
            </w:r>
          </w:p>
        </w:tc>
        <w:tc>
          <w:tcPr>
            <w:tcW w:w="3700" w:type="dxa"/>
            <w:shd w:val="clear" w:color="auto" w:fill="FFFFFF"/>
            <w:tcMar>
              <w:top w:w="100" w:type="dxa"/>
              <w:left w:w="120" w:type="dxa"/>
              <w:bottom w:w="100" w:type="dxa"/>
              <w:right w:w="120" w:type="dxa"/>
            </w:tcMar>
          </w:tcPr>
          <w:p>
            <w:r>
              <w:t>Total marketing investment.</w:t>
            </w:r>
          </w:p>
        </w:tc>
      </w:tr>
      <w:tr w:rsidR="00085382" w14:paraId="28CA4188" w14:textId="77777777">
        <w:tc>
          <w:tcPr>
            <w:tcW w:w="1700" w:type="dxa"/>
            <w:shd w:val="clear" w:color="auto" w:fill="EAF1F8"/>
            <w:tcMar>
              <w:top w:w="100" w:type="dxa"/>
              <w:left w:w="120" w:type="dxa"/>
              <w:bottom w:w="100" w:type="dxa"/>
              <w:right w:w="120" w:type="dxa"/>
            </w:tcMar>
          </w:tcPr>
          <w:p>
            <w:r>
              <w:t>Total Revenue</w:t>
            </w:r>
          </w:p>
        </w:tc>
        <w:tc>
          <w:tcPr>
            <w:tcW w:w="3600" w:type="dxa"/>
            <w:shd w:val="clear" w:color="auto" w:fill="EAF1F8"/>
            <w:tcMar>
              <w:top w:w="100" w:type="dxa"/>
              <w:left w:w="120" w:type="dxa"/>
              <w:bottom w:w="100" w:type="dxa"/>
              <w:right w:w="120" w:type="dxa"/>
            </w:tcMar>
          </w:tcPr>
          <w:p>
            <w:r>
              <w:t>SUM(Revenue)</w:t>
            </w:r>
          </w:p>
        </w:tc>
        <w:tc>
          <w:tcPr>
            <w:tcW w:w="3700" w:type="dxa"/>
            <w:shd w:val="clear" w:color="auto" w:fill="EAF1F8"/>
            <w:tcMar>
              <w:top w:w="100" w:type="dxa"/>
              <w:left w:w="120" w:type="dxa"/>
              <w:bottom w:w="100" w:type="dxa"/>
              <w:right w:w="120" w:type="dxa"/>
            </w:tcMar>
          </w:tcPr>
          <w:p>
            <w:r>
              <w:t>Revenue generated from marketing campaigns.</w:t>
            </w:r>
          </w:p>
        </w:tc>
      </w:tr>
      <w:tr w:rsidR="00085382" w14:paraId="61D94492" w14:textId="77777777">
        <w:tc>
          <w:tcPr>
            <w:tcW w:w="1700" w:type="dxa"/>
            <w:shd w:val="clear" w:color="auto" w:fill="FFFFFF"/>
            <w:tcMar>
              <w:top w:w="100" w:type="dxa"/>
              <w:left w:w="120" w:type="dxa"/>
              <w:bottom w:w="100" w:type="dxa"/>
              <w:right w:w="120" w:type="dxa"/>
            </w:tcMar>
          </w:tcPr>
          <w:p>
            <w:r>
              <w:t>ROAS</w:t>
            </w:r>
          </w:p>
        </w:tc>
        <w:tc>
          <w:tcPr>
            <w:tcW w:w="3600" w:type="dxa"/>
            <w:shd w:val="clear" w:color="auto" w:fill="FFFFFF"/>
            <w:tcMar>
              <w:top w:w="100" w:type="dxa"/>
              <w:left w:w="120" w:type="dxa"/>
              <w:bottom w:w="100" w:type="dxa"/>
              <w:right w:w="120" w:type="dxa"/>
            </w:tcMar>
          </w:tcPr>
          <w:p>
            <w:r>
              <w:t>SUM(Revenue) / SUM(Ad Spend)</w:t>
            </w:r>
          </w:p>
        </w:tc>
        <w:tc>
          <w:tcPr>
            <w:tcW w:w="3700" w:type="dxa"/>
            <w:shd w:val="clear" w:color="auto" w:fill="FFFFFF"/>
            <w:tcMar>
              <w:top w:w="100" w:type="dxa"/>
              <w:left w:w="120" w:type="dxa"/>
              <w:bottom w:w="100" w:type="dxa"/>
              <w:right w:w="120" w:type="dxa"/>
            </w:tcMar>
          </w:tcPr>
          <w:p>
            <w:r>
              <w:t>Return generated for every unit of ad spend.</w:t>
            </w:r>
          </w:p>
        </w:tc>
      </w:tr>
      <w:tr w:rsidR="00085382" w14:paraId="569A3CA1" w14:textId="77777777">
        <w:tc>
          <w:tcPr>
            <w:tcW w:w="1700" w:type="dxa"/>
            <w:shd w:val="clear" w:color="auto" w:fill="EAF1F8"/>
            <w:tcMar>
              <w:top w:w="100" w:type="dxa"/>
              <w:left w:w="120" w:type="dxa"/>
              <w:bottom w:w="100" w:type="dxa"/>
              <w:right w:w="120" w:type="dxa"/>
            </w:tcMar>
          </w:tcPr>
          <w:p>
            <w:r>
              <w:t>Average Touchpoints</w:t>
            </w:r>
          </w:p>
        </w:tc>
        <w:tc>
          <w:tcPr>
            <w:tcW w:w="3600" w:type="dxa"/>
            <w:shd w:val="clear" w:color="auto" w:fill="EAF1F8"/>
            <w:tcMar>
              <w:top w:w="100" w:type="dxa"/>
              <w:left w:w="120" w:type="dxa"/>
              <w:bottom w:w="100" w:type="dxa"/>
              <w:right w:w="120" w:type="dxa"/>
            </w:tcMar>
          </w:tcPr>
          <w:p>
            <w:r>
              <w:t>AVERAGE(Touchpoints)</w:t>
            </w:r>
          </w:p>
        </w:tc>
        <w:tc>
          <w:tcPr>
            <w:tcW w:w="3700" w:type="dxa"/>
            <w:shd w:val="clear" w:color="auto" w:fill="EAF1F8"/>
            <w:tcMar>
              <w:top w:w="100" w:type="dxa"/>
              <w:left w:w="120" w:type="dxa"/>
              <w:bottom w:w="100" w:type="dxa"/>
              <w:right w:w="120" w:type="dxa"/>
            </w:tcMar>
          </w:tcPr>
          <w:p>
            <w:r>
              <w:t>Average number of interactions before conversion.</w:t>
            </w:r>
          </w:p>
        </w:tc>
      </w:tr>
      <w:tr w:rsidR="00085382" w14:paraId="340E112D" w14:textId="77777777">
        <w:tc>
          <w:tcPr>
            <w:tcW w:w="1700" w:type="dxa"/>
            <w:shd w:val="clear" w:color="auto" w:fill="FFFFFF"/>
            <w:tcMar>
              <w:top w:w="100" w:type="dxa"/>
              <w:left w:w="120" w:type="dxa"/>
              <w:bottom w:w="100" w:type="dxa"/>
              <w:right w:w="120" w:type="dxa"/>
            </w:tcMar>
          </w:tcPr>
          <w:p>
            <w:r>
              <w:t>Total Customers</w:t>
            </w:r>
          </w:p>
        </w:tc>
        <w:tc>
          <w:tcPr>
            <w:tcW w:w="3600" w:type="dxa"/>
            <w:shd w:val="clear" w:color="auto" w:fill="FFFFFF"/>
            <w:tcMar>
              <w:top w:w="100" w:type="dxa"/>
              <w:left w:w="120" w:type="dxa"/>
              <w:bottom w:w="100" w:type="dxa"/>
              <w:right w:w="120" w:type="dxa"/>
            </w:tcMar>
          </w:tcPr>
          <w:p>
            <w:r>
              <w:t>COUNT(Customer ID)</w:t>
            </w:r>
          </w:p>
        </w:tc>
        <w:tc>
          <w:tcPr>
            <w:tcW w:w="3700" w:type="dxa"/>
            <w:shd w:val="clear" w:color="auto" w:fill="FFFFFF"/>
            <w:tcMar>
              <w:top w:w="100" w:type="dxa"/>
              <w:left w:w="120" w:type="dxa"/>
              <w:bottom w:w="100" w:type="dxa"/>
              <w:right w:w="120" w:type="dxa"/>
            </w:tcMar>
          </w:tcPr>
          <w:p>
            <w:r>
              <w:t>Number of customers acquired.</w:t>
            </w:r>
          </w:p>
        </w:tc>
      </w:tr>
      <w:tr w:rsidR="00085382" w14:paraId="0F220BD8" w14:textId="77777777">
        <w:tc>
          <w:tcPr>
            <w:tcW w:w="1700" w:type="dxa"/>
            <w:shd w:val="clear" w:color="auto" w:fill="EAF1F8"/>
            <w:tcMar>
              <w:top w:w="100" w:type="dxa"/>
              <w:left w:w="120" w:type="dxa"/>
              <w:bottom w:w="100" w:type="dxa"/>
              <w:right w:w="120" w:type="dxa"/>
            </w:tcMar>
          </w:tcPr>
          <w:p>
            <w:r>
              <w:t>CAC</w:t>
            </w:r>
          </w:p>
        </w:tc>
        <w:tc>
          <w:tcPr>
            <w:tcW w:w="3600" w:type="dxa"/>
            <w:shd w:val="clear" w:color="auto" w:fill="EAF1F8"/>
            <w:tcMar>
              <w:top w:w="100" w:type="dxa"/>
              <w:left w:w="120" w:type="dxa"/>
              <w:bottom w:w="100" w:type="dxa"/>
              <w:right w:w="120" w:type="dxa"/>
            </w:tcMar>
          </w:tcPr>
          <w:p>
            <w:r>
              <w:t>SUM(Ad Spend) / COUNT(Customers)</w:t>
            </w:r>
          </w:p>
        </w:tc>
        <w:tc>
          <w:tcPr>
            <w:tcW w:w="3700" w:type="dxa"/>
            <w:shd w:val="clear" w:color="auto" w:fill="EAF1F8"/>
            <w:tcMar>
              <w:top w:w="100" w:type="dxa"/>
              <w:left w:w="120" w:type="dxa"/>
              <w:bottom w:w="100" w:type="dxa"/>
              <w:right w:w="120" w:type="dxa"/>
            </w:tcMar>
          </w:tcPr>
          <w:p>
            <w:r>
              <w:t>Average cost to acquire one customer.</w:t>
            </w:r>
          </w:p>
        </w:tc>
      </w:tr>
    </w:tbl>
    <w:p w14:paraId="282D25A0" w14:textId="77777777" w:rsidR="00085382" w:rsidRDefault="003B62D0">
      <w:pPr>
        <w:pStyle w:val="Heading1"/>
        <w:spacing w:before="360" w:after="160"/>
      </w:pPr>
      <w:r>
        <w:rPr>
          <w:b/>
          <w:bCs/>
          <w:color w:val="1F3864"/>
          <w:sz w:val="28"/>
          <w:szCs w:val="28"/>
        </w:rPr>
        <w:t>6. Attribution Methodology</w:t>
      </w:r>
    </w:p>
    <w:p w14:paraId="670941E4" w14:textId="77777777" w:rsidR="00085382" w:rsidRDefault="003B62D0">
      <w:pPr>
        <w:spacing w:after="160" w:line="276" w:lineRule="auto"/>
      </w:pPr>
      <w:r>
        <w:rPr>
          <w:color w:val="262626"/>
          <w:sz w:val="21"/>
          <w:szCs w:val="21"/>
        </w:rPr>
        <w:t>Because a single conversion is typically influenced by several touchpoints, the project implements five attribution models side by side rather than committing to one view of “credit”:</w:t>
      </w:r>
    </w:p>
    <w:p w14:paraId="6931AEB4" w14:textId="77777777" w:rsidR="00085382" w:rsidRDefault="003B62D0">
      <w:pPr>
        <w:pStyle w:val="ListParagraph"/>
        <w:numPr>
          <w:ilvl w:val="0"/>
          <w:numId w:val="2"/>
        </w:numPr>
        <w:spacing w:after="80"/>
      </w:pPr>
      <w:r>
        <w:rPr>
          <w:color w:val="262626"/>
          <w:sz w:val="21"/>
          <w:szCs w:val="21"/>
        </w:rPr>
        <w:t>First-click — all credit to the touchpoint that started the journey.</w:t>
      </w:r>
    </w:p>
    <w:p w14:paraId="3208184B" w14:textId="77777777" w:rsidR="00085382" w:rsidRDefault="003B62D0">
      <w:pPr>
        <w:pStyle w:val="ListParagraph"/>
        <w:numPr>
          <w:ilvl w:val="0"/>
          <w:numId w:val="2"/>
        </w:numPr>
        <w:spacing w:after="80"/>
      </w:pPr>
      <w:r>
        <w:rPr>
          <w:color w:val="262626"/>
          <w:sz w:val="21"/>
          <w:szCs w:val="21"/>
        </w:rPr>
        <w:t>Last-click — all credit to the touchpoint that closed the journey.</w:t>
      </w:r>
    </w:p>
    <w:p w14:paraId="7B98B41C" w14:textId="77777777" w:rsidR="00085382" w:rsidRDefault="003B62D0">
      <w:pPr>
        <w:pStyle w:val="ListParagraph"/>
        <w:numPr>
          <w:ilvl w:val="0"/>
          <w:numId w:val="2"/>
        </w:numPr>
        <w:spacing w:after="80"/>
      </w:pPr>
      <w:r>
        <w:rPr>
          <w:color w:val="262626"/>
          <w:sz w:val="21"/>
          <w:szCs w:val="21"/>
        </w:rPr>
        <w:lastRenderedPageBreak/>
        <w:t>Linear — credit split evenly across every touchpoint.</w:t>
      </w:r>
    </w:p>
    <w:p w14:paraId="2C427F39" w14:textId="77777777" w:rsidR="00085382" w:rsidRDefault="003B62D0">
      <w:pPr>
        <w:pStyle w:val="ListParagraph"/>
        <w:numPr>
          <w:ilvl w:val="0"/>
          <w:numId w:val="2"/>
        </w:numPr>
        <w:spacing w:after="80"/>
      </w:pPr>
      <w:r>
        <w:rPr>
          <w:color w:val="262626"/>
          <w:sz w:val="21"/>
          <w:szCs w:val="21"/>
        </w:rPr>
        <w:t>Time-decay — later touchpoints weighted more heavily, on an exponential half-life.</w:t>
      </w:r>
    </w:p>
    <w:p w14:paraId="0E177AA9" w14:textId="77777777" w:rsidR="00085382" w:rsidRDefault="003B62D0">
      <w:pPr>
        <w:pStyle w:val="ListParagraph"/>
        <w:numPr>
          <w:ilvl w:val="0"/>
          <w:numId w:val="2"/>
        </w:numPr>
        <w:spacing w:after="80"/>
      </w:pPr>
      <w:r>
        <w:rPr>
          <w:color w:val="262626"/>
          <w:sz w:val="21"/>
          <w:szCs w:val="21"/>
        </w:rPr>
        <w:t>Position-based (U-shaped) — 40% to the first touch, 40% to the last, 20% split across the middle.</w:t>
      </w:r>
    </w:p>
    <w:p w14:paraId="35C96DC7" w14:textId="77777777" w:rsidR="00085382" w:rsidRDefault="003B62D0">
      <w:pPr>
        <w:spacing w:after="160" w:line="276" w:lineRule="auto"/>
      </w:pPr>
      <w:r>
        <w:rPr>
          <w:color w:val="262626"/>
          <w:sz w:val="21"/>
          <w:szCs w:val="21"/>
        </w:rPr>
        <w:t>Running all five side by side highlights how sensitive channel rankings are to the attribution assumption — a channel that looks dominant under last-click can look marginal under linear or first-click. That sensitivity is itself a useful finding: it tells leadership how much confidence to place in any single-model view of channel performance.</w:t>
      </w:r>
    </w:p>
    <w:p w14:paraId="0B85309B" w14:textId="77777777" w:rsidR="00085382" w:rsidRDefault="003B62D0">
      <w:pPr>
        <w:spacing w:after="160" w:line="276" w:lineRule="auto"/>
      </w:pPr>
      <w:r>
        <w:rPr>
          <w:color w:val="262626"/>
          <w:sz w:val="21"/>
          <w:szCs w:val="21"/>
        </w:rPr>
        <w:t>Current limitation: at the granularity available, these models distribute ad spend itself across a journey's touchpoints (a budget-weighting view), rather than distributing actual conversion credit, because the ads-performance dataset does not carry a conversion or revenue field at the touchpoint level. Extending this to true conversion-based attribution requires linking touchpoint-level data to conversion outcomes — noted as a next step in Section 8.</w:t>
      </w:r>
    </w:p>
    <w:p w14:paraId="0FA65E76" w14:textId="77777777" w:rsidR="00085382" w:rsidRDefault="003B62D0">
      <w:pPr>
        <w:pStyle w:val="Heading1"/>
        <w:spacing w:before="360" w:after="160"/>
      </w:pPr>
      <w:r>
        <w:rPr>
          <w:b/>
          <w:bCs/>
          <w:color w:val="1F3864"/>
          <w:sz w:val="28"/>
          <w:szCs w:val="28"/>
        </w:rPr>
        <w:t>7. Data Quality &amp; Governance</w:t>
      </w:r>
    </w:p>
    <w:p w14:paraId="7C829886" w14:textId="77777777" w:rsidR="00085382" w:rsidRDefault="003B62D0">
      <w:pPr>
        <w:spacing w:after="160" w:line="276" w:lineRule="auto"/>
      </w:pPr>
      <w:r>
        <w:rPr>
          <w:color w:val="262626"/>
          <w:sz w:val="21"/>
          <w:szCs w:val="21"/>
        </w:rPr>
        <w:t>A recurring risk in marketing analytics is dashboards that look authoritative but rest on quietly wrong arithmetic. Two governance decisions in this project directly address that risk:</w:t>
      </w:r>
    </w:p>
    <w:p w14:paraId="39224DB5" w14:textId="77777777" w:rsidR="00085382" w:rsidRDefault="003B62D0">
      <w:pPr>
        <w:pStyle w:val="ListParagraph"/>
        <w:numPr>
          <w:ilvl w:val="0"/>
          <w:numId w:val="2"/>
        </w:numPr>
        <w:spacing w:after="80"/>
      </w:pPr>
      <w:r>
        <w:rPr>
          <w:color w:val="262626"/>
          <w:sz w:val="21"/>
          <w:szCs w:val="21"/>
        </w:rPr>
        <w:t>KPI correction: CTR and CPC are calculated as SUM(clicks)/SUM(impressions) and SUM(spend)/SUM(clicks) rather than as an average of each row's individual ratio. The latter approach, found in an earlier draft of the queries, silently overweights low-volume campaigns and would have misdirected budget conversations.</w:t>
      </w:r>
    </w:p>
    <w:p w14:paraId="740BEA7F" w14:textId="77777777" w:rsidR="00085382" w:rsidRDefault="003B62D0">
      <w:pPr>
        <w:pStyle w:val="ListParagraph"/>
        <w:numPr>
          <w:ilvl w:val="0"/>
          <w:numId w:val="2"/>
        </w:numPr>
        <w:spacing w:after="80"/>
      </w:pPr>
      <w:r>
        <w:rPr>
          <w:color w:val="262626"/>
          <w:sz w:val="21"/>
          <w:szCs w:val="21"/>
        </w:rPr>
        <w:t>Automated validation: every data load is checked for clicks exceeding impressions, negative spend or revenue, null keys, duplicate campaign records, and drift between source and recomputed metrics — before that data is allowed into reporting views.</w:t>
      </w:r>
    </w:p>
    <w:p w14:paraId="673FDED1" w14:textId="1853F595" w:rsidR="003B62D0" w:rsidRPr="003B62D0" w:rsidRDefault="003B62D0">
      <w:pPr>
        <w:spacing w:after="160" w:line="276" w:lineRule="auto"/>
        <w:rPr>
          <w:color w:val="262626"/>
          <w:sz w:val="21"/>
          <w:szCs w:val="21"/>
        </w:rPr>
      </w:pPr>
      <w:r>
        <w:rPr>
          <w:color w:val="262626"/>
          <w:sz w:val="21"/>
          <w:szCs w:val="21"/>
        </w:rPr>
        <w:t>These checks are implemented as a standing SQL script intended to run after every refresh, not as a one-time cleanup step.</w:t>
      </w:r>
    </w:p>
    <w:p w14:paraId="2EDEA73B" w14:textId="77777777" w:rsidR="003B62D0" w:rsidRDefault="003B62D0" w:rsidP="003B62D0">
      <w:pPr>
        <w:rPr>
          <w:b/>
          <w:bCs/>
          <w:color w:val="1F3864"/>
          <w:sz w:val="28"/>
          <w:szCs w:val="28"/>
        </w:rPr>
      </w:pPr>
      <w:r>
        <w:rPr>
          <w:b/>
          <w:bCs/>
          <w:color w:val="1F3864"/>
          <w:sz w:val="28"/>
          <w:szCs w:val="28"/>
        </w:rPr>
        <w:t xml:space="preserve">8. </w:t>
      </w:r>
      <w:r w:rsidRPr="003B62D0">
        <w:rPr>
          <w:b/>
          <w:bCs/>
          <w:color w:val="1F3864"/>
          <w:sz w:val="28"/>
          <w:szCs w:val="28"/>
        </w:rPr>
        <w:t>Dashboard Insights (Power BI)</w:t>
      </w:r>
    </w:p>
    <w:p w14:paraId="70C6EADC" w14:textId="77777777" w:rsidR="003B62D0" w:rsidRDefault="003B62D0" w:rsidP="003B62D0"/>
    <w:p w14:paraId="2EC252D5" w14:textId="77777777" w:rsidR="003B62D0" w:rsidRPr="003B62D0" w:rsidRDefault="003B62D0" w:rsidP="003B62D0">
      <w:pPr>
        <w:spacing w:after="160" w:line="276" w:lineRule="auto"/>
        <w:rPr>
          <w:color w:val="262626"/>
          <w:sz w:val="21"/>
          <w:szCs w:val="21"/>
        </w:rPr>
      </w:pPr>
      <w:r w:rsidRPr="003B62D0">
        <w:rPr>
          <w:color w:val="262626"/>
          <w:sz w:val="21"/>
          <w:szCs w:val="21"/>
        </w:rPr>
        <w:t>The Power BI dashboard provides an executive view of marketing performance using KPI cards, charts, maps and interactive filters.</w:t>
      </w:r>
    </w:p>
    <w:p w14:paraId="6FF08B65"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KPI Summary: The dashboard displays Total Ad Spend, Total Revenue, ROAS, Average Touchpoints, Total Customers and Customer Acquisition Cost (CAC).</w:t>
      </w:r>
    </w:p>
    <w:p w14:paraId="7A208F9C"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Device Analysis: Desktop received the highest advertising spend followed by Mobile and Tablet.</w:t>
      </w:r>
    </w:p>
    <w:p w14:paraId="4E323F7E"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Marketing Funnel: The funnel chart shows customer progression through Awareness, Consideration, Decision and Purchase, helping identify conversion drop-offs.</w:t>
      </w:r>
    </w:p>
    <w:p w14:paraId="78BAAD4C"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Product Plan Analysis: The donut chart compares Starter, Professional and Enterprise product plans.</w:t>
      </w:r>
    </w:p>
    <w:p w14:paraId="2C97255C" w14:textId="33765BDB"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Regional &amp; Channel Analysis: Interactive slicers allow business users to analyse campaign performance by region, channel, device and campaign.</w:t>
      </w:r>
    </w:p>
    <w:p w14:paraId="18F78DFF" w14:textId="3D8111DD" w:rsidR="00085382" w:rsidRDefault="003B62D0" w:rsidP="003B62D0">
      <w:pPr>
        <w:pStyle w:val="Heading1"/>
        <w:spacing w:before="360" w:after="160"/>
      </w:pPr>
      <w:r>
        <w:rPr>
          <w:b/>
          <w:bCs/>
          <w:color w:val="1F3864"/>
          <w:sz w:val="28"/>
          <w:szCs w:val="28"/>
        </w:rPr>
        <w:t>9. Project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85382" w14:paraId="47995627" w14:textId="77777777">
        <w:trPr>
          <w:tblHeader/>
        </w:trPr>
        <w:tc>
          <w:tcPr>
            <w:tcW w:w="3000" w:type="dxa"/>
            <w:shd w:val="clear" w:color="auto" w:fill="1F3864"/>
            <w:tcMar>
              <w:top w:w="100" w:type="dxa"/>
              <w:left w:w="120" w:type="dxa"/>
              <w:bottom w:w="100" w:type="dxa"/>
              <w:right w:w="120" w:type="dxa"/>
            </w:tcMar>
          </w:tcPr>
          <w:p w14:paraId="6C0F244F" w14:textId="77777777" w:rsidR="00085382" w:rsidRDefault="003B62D0">
            <w:r>
              <w:rPr>
                <w:b/>
                <w:bCs/>
                <w:color w:val="FFFFFF"/>
              </w:rPr>
              <w:t>Workstream</w:t>
            </w:r>
          </w:p>
        </w:tc>
        <w:tc>
          <w:tcPr>
            <w:tcW w:w="3000" w:type="dxa"/>
            <w:shd w:val="clear" w:color="auto" w:fill="1F3864"/>
            <w:tcMar>
              <w:top w:w="100" w:type="dxa"/>
              <w:left w:w="120" w:type="dxa"/>
              <w:bottom w:w="100" w:type="dxa"/>
              <w:right w:w="120" w:type="dxa"/>
            </w:tcMar>
          </w:tcPr>
          <w:p w14:paraId="1BF0DF24" w14:textId="77777777" w:rsidR="00085382" w:rsidRDefault="003B62D0">
            <w:r>
              <w:rPr>
                <w:b/>
                <w:bCs/>
                <w:color w:val="FFFFFF"/>
              </w:rPr>
              <w:t>Status</w:t>
            </w:r>
          </w:p>
        </w:tc>
        <w:tc>
          <w:tcPr>
            <w:tcW w:w="3000" w:type="dxa"/>
            <w:shd w:val="clear" w:color="auto" w:fill="1F3864"/>
            <w:tcMar>
              <w:top w:w="100" w:type="dxa"/>
              <w:left w:w="120" w:type="dxa"/>
              <w:bottom w:w="100" w:type="dxa"/>
              <w:right w:w="120" w:type="dxa"/>
            </w:tcMar>
          </w:tcPr>
          <w:p w14:paraId="02AD260C" w14:textId="77777777" w:rsidR="00085382" w:rsidRDefault="003B62D0">
            <w:r>
              <w:rPr>
                <w:b/>
                <w:bCs/>
                <w:color w:val="FFFFFF"/>
              </w:rPr>
              <w:t>Notes</w:t>
            </w:r>
          </w:p>
        </w:tc>
      </w:tr>
      <w:tr w:rsidR="00085382" w14:paraId="16BC52CE" w14:textId="77777777">
        <w:tc>
          <w:tcPr>
            <w:tcW w:w="3000" w:type="dxa"/>
            <w:shd w:val="clear" w:color="auto" w:fill="FFFFFF"/>
            <w:tcMar>
              <w:top w:w="100" w:type="dxa"/>
              <w:left w:w="120" w:type="dxa"/>
              <w:bottom w:w="100" w:type="dxa"/>
              <w:right w:w="120" w:type="dxa"/>
            </w:tcMar>
          </w:tcPr>
          <w:p w14:paraId="608AEE0F" w14:textId="77777777" w:rsidR="00085382" w:rsidRDefault="003B62D0">
            <w:r>
              <w:rPr>
                <w:color w:val="262626"/>
              </w:rPr>
              <w:t>Data collection &amp; repo setup</w:t>
            </w:r>
          </w:p>
        </w:tc>
        <w:tc>
          <w:tcPr>
            <w:tcW w:w="3000" w:type="dxa"/>
            <w:shd w:val="clear" w:color="auto" w:fill="FFFFFF"/>
            <w:tcMar>
              <w:top w:w="100" w:type="dxa"/>
              <w:left w:w="120" w:type="dxa"/>
              <w:bottom w:w="100" w:type="dxa"/>
              <w:right w:w="120" w:type="dxa"/>
            </w:tcMar>
          </w:tcPr>
          <w:p w14:paraId="4CDBA8C3"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21E62F96" w14:textId="77777777" w:rsidR="00085382" w:rsidRDefault="003B62D0">
            <w:r>
              <w:rPr>
                <w:color w:val="262626"/>
              </w:rPr>
              <w:t>Two source datasets acquired</w:t>
            </w:r>
          </w:p>
        </w:tc>
      </w:tr>
      <w:tr w:rsidR="00085382" w14:paraId="72B15AFD" w14:textId="77777777">
        <w:tc>
          <w:tcPr>
            <w:tcW w:w="3000" w:type="dxa"/>
            <w:shd w:val="clear" w:color="auto" w:fill="EAF1F8"/>
            <w:tcMar>
              <w:top w:w="100" w:type="dxa"/>
              <w:left w:w="120" w:type="dxa"/>
              <w:bottom w:w="100" w:type="dxa"/>
              <w:right w:w="120" w:type="dxa"/>
            </w:tcMar>
          </w:tcPr>
          <w:p w14:paraId="51C15CFC" w14:textId="77777777" w:rsidR="00085382" w:rsidRDefault="003B62D0">
            <w:r>
              <w:rPr>
                <w:color w:val="262626"/>
              </w:rPr>
              <w:t>Data cleaning &amp; preprocessing</w:t>
            </w:r>
          </w:p>
        </w:tc>
        <w:tc>
          <w:tcPr>
            <w:tcW w:w="3000" w:type="dxa"/>
            <w:shd w:val="clear" w:color="auto" w:fill="EAF1F8"/>
            <w:tcMar>
              <w:top w:w="100" w:type="dxa"/>
              <w:left w:w="120" w:type="dxa"/>
              <w:bottom w:w="100" w:type="dxa"/>
              <w:right w:w="120" w:type="dxa"/>
            </w:tcMar>
          </w:tcPr>
          <w:p w14:paraId="02191993"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17F6D0B4" w14:textId="77777777" w:rsidR="00085382" w:rsidRDefault="003B62D0">
            <w:r>
              <w:rPr>
                <w:color w:val="262626"/>
              </w:rPr>
              <w:t>Staging + validation checks in place</w:t>
            </w:r>
          </w:p>
        </w:tc>
      </w:tr>
      <w:tr w:rsidR="00085382" w14:paraId="38A11C6B" w14:textId="77777777">
        <w:tc>
          <w:tcPr>
            <w:tcW w:w="3000" w:type="dxa"/>
            <w:shd w:val="clear" w:color="auto" w:fill="FFFFFF"/>
            <w:tcMar>
              <w:top w:w="100" w:type="dxa"/>
              <w:left w:w="120" w:type="dxa"/>
              <w:bottom w:w="100" w:type="dxa"/>
              <w:right w:w="120" w:type="dxa"/>
            </w:tcMar>
          </w:tcPr>
          <w:p w14:paraId="18FC8556" w14:textId="77777777" w:rsidR="00085382" w:rsidRDefault="003B62D0">
            <w:r>
              <w:rPr>
                <w:color w:val="262626"/>
              </w:rPr>
              <w:t>Database design &amp; SQL implementation</w:t>
            </w:r>
          </w:p>
        </w:tc>
        <w:tc>
          <w:tcPr>
            <w:tcW w:w="3000" w:type="dxa"/>
            <w:shd w:val="clear" w:color="auto" w:fill="FFFFFF"/>
            <w:tcMar>
              <w:top w:w="100" w:type="dxa"/>
              <w:left w:w="120" w:type="dxa"/>
              <w:bottom w:w="100" w:type="dxa"/>
              <w:right w:w="120" w:type="dxa"/>
            </w:tcMar>
          </w:tcPr>
          <w:p w14:paraId="2A93FD99"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0A74A9C2" w14:textId="77777777" w:rsidR="00085382" w:rsidRDefault="003B62D0">
            <w:r>
              <w:rPr>
                <w:color w:val="262626"/>
              </w:rPr>
              <w:t>Star schema + two data marts</w:t>
            </w:r>
          </w:p>
        </w:tc>
      </w:tr>
      <w:tr w:rsidR="00085382" w14:paraId="66CD5650" w14:textId="77777777">
        <w:tc>
          <w:tcPr>
            <w:tcW w:w="3000" w:type="dxa"/>
            <w:shd w:val="clear" w:color="auto" w:fill="EAF1F8"/>
            <w:tcMar>
              <w:top w:w="100" w:type="dxa"/>
              <w:left w:w="120" w:type="dxa"/>
              <w:bottom w:w="100" w:type="dxa"/>
              <w:right w:w="120" w:type="dxa"/>
            </w:tcMar>
          </w:tcPr>
          <w:p w14:paraId="17CBFD68" w14:textId="77777777" w:rsidR="00085382" w:rsidRDefault="003B62D0">
            <w:r>
              <w:rPr>
                <w:color w:val="262626"/>
              </w:rPr>
              <w:lastRenderedPageBreak/>
              <w:t>Exploratory analysis</w:t>
            </w:r>
          </w:p>
        </w:tc>
        <w:tc>
          <w:tcPr>
            <w:tcW w:w="3000" w:type="dxa"/>
            <w:shd w:val="clear" w:color="auto" w:fill="EAF1F8"/>
            <w:tcMar>
              <w:top w:w="100" w:type="dxa"/>
              <w:left w:w="120" w:type="dxa"/>
              <w:bottom w:w="100" w:type="dxa"/>
              <w:right w:w="120" w:type="dxa"/>
            </w:tcMar>
          </w:tcPr>
          <w:p w14:paraId="07C52BAB"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3228EB08" w14:textId="77777777" w:rsidR="00085382" w:rsidRDefault="003B62D0">
            <w:r>
              <w:rPr>
                <w:color w:val="262626"/>
              </w:rPr>
              <w:t>Initial EDA done</w:t>
            </w:r>
          </w:p>
        </w:tc>
      </w:tr>
      <w:tr w:rsidR="00085382" w14:paraId="0C1562F9" w14:textId="77777777">
        <w:tc>
          <w:tcPr>
            <w:tcW w:w="3000" w:type="dxa"/>
            <w:shd w:val="clear" w:color="auto" w:fill="FFFFFF"/>
            <w:tcMar>
              <w:top w:w="100" w:type="dxa"/>
              <w:left w:w="120" w:type="dxa"/>
              <w:bottom w:w="100" w:type="dxa"/>
              <w:right w:w="120" w:type="dxa"/>
            </w:tcMar>
          </w:tcPr>
          <w:p w14:paraId="6E75350B" w14:textId="77777777" w:rsidR="00085382" w:rsidRDefault="003B62D0">
            <w:r>
              <w:rPr>
                <w:color w:val="262626"/>
              </w:rPr>
              <w:t>Attribution analysis</w:t>
            </w:r>
          </w:p>
        </w:tc>
        <w:tc>
          <w:tcPr>
            <w:tcW w:w="3000" w:type="dxa"/>
            <w:shd w:val="clear" w:color="auto" w:fill="FFFFFF"/>
            <w:tcMar>
              <w:top w:w="100" w:type="dxa"/>
              <w:left w:w="120" w:type="dxa"/>
              <w:bottom w:w="100" w:type="dxa"/>
              <w:right w:w="120" w:type="dxa"/>
            </w:tcMar>
          </w:tcPr>
          <w:p w14:paraId="2180DC1C"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6788F46A" w14:textId="77777777" w:rsidR="00085382" w:rsidRDefault="003B62D0">
            <w:r>
              <w:rPr>
                <w:color w:val="262626"/>
              </w:rPr>
              <w:t>5 models implemented (see Section 5)</w:t>
            </w:r>
          </w:p>
        </w:tc>
      </w:tr>
      <w:tr w:rsidR="00085382" w14:paraId="0F293847" w14:textId="77777777">
        <w:tc>
          <w:tcPr>
            <w:tcW w:w="3000" w:type="dxa"/>
            <w:shd w:val="clear" w:color="auto" w:fill="EAF1F8"/>
            <w:tcMar>
              <w:top w:w="100" w:type="dxa"/>
              <w:left w:w="120" w:type="dxa"/>
              <w:bottom w:w="100" w:type="dxa"/>
              <w:right w:w="120" w:type="dxa"/>
            </w:tcMar>
          </w:tcPr>
          <w:p w14:paraId="2B82A37B" w14:textId="77777777" w:rsidR="00085382" w:rsidRDefault="003B62D0">
            <w:r>
              <w:rPr>
                <w:color w:val="262626"/>
              </w:rPr>
              <w:t>ROI evaluation</w:t>
            </w:r>
          </w:p>
        </w:tc>
        <w:tc>
          <w:tcPr>
            <w:tcW w:w="3000" w:type="dxa"/>
            <w:shd w:val="clear" w:color="auto" w:fill="EAF1F8"/>
            <w:tcMar>
              <w:top w:w="100" w:type="dxa"/>
              <w:left w:w="120" w:type="dxa"/>
              <w:bottom w:w="100" w:type="dxa"/>
              <w:right w:w="120" w:type="dxa"/>
            </w:tcMar>
          </w:tcPr>
          <w:p w14:paraId="4DC661ED"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4EA79C6F" w14:textId="77777777" w:rsidR="00085382" w:rsidRDefault="003B62D0">
            <w:r>
              <w:rPr>
                <w:color w:val="262626"/>
              </w:rPr>
              <w:t>CAC / ROAS views built</w:t>
            </w:r>
          </w:p>
        </w:tc>
      </w:tr>
      <w:tr w:rsidR="00085382" w14:paraId="2B6BDF53" w14:textId="77777777">
        <w:tc>
          <w:tcPr>
            <w:tcW w:w="3000" w:type="dxa"/>
            <w:shd w:val="clear" w:color="auto" w:fill="FFFFFF"/>
            <w:tcMar>
              <w:top w:w="100" w:type="dxa"/>
              <w:left w:w="120" w:type="dxa"/>
              <w:bottom w:w="100" w:type="dxa"/>
              <w:right w:w="120" w:type="dxa"/>
            </w:tcMar>
          </w:tcPr>
          <w:p w14:paraId="3B60A920" w14:textId="77777777" w:rsidR="00085382" w:rsidRDefault="003B62D0">
            <w:r>
              <w:rPr>
                <w:color w:val="262626"/>
              </w:rPr>
              <w:t>Power BI dashboard development</w:t>
            </w:r>
          </w:p>
        </w:tc>
        <w:tc>
          <w:tcPr>
            <w:tcW w:w="3000" w:type="dxa"/>
            <w:shd w:val="clear" w:color="auto" w:fill="FFFFFF"/>
            <w:tcMar>
              <w:top w:w="100" w:type="dxa"/>
              <w:left w:w="120" w:type="dxa"/>
              <w:bottom w:w="100" w:type="dxa"/>
              <w:right w:w="120" w:type="dxa"/>
            </w:tcMar>
          </w:tcPr>
          <w:p w14:paraId="06450659"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21113004" w14:textId="77777777" w:rsidR="00085382" w:rsidRDefault="003B62D0">
            <w:r>
              <w:rPr>
                <w:color w:val="262626"/>
              </w:rPr>
              <w:t>Interactive Power BI dashboard completed</w:t>
            </w:r>
          </w:p>
        </w:tc>
      </w:tr>
      <w:tr w:rsidR="00085382" w14:paraId="336F755F" w14:textId="77777777">
        <w:tc>
          <w:tcPr>
            <w:tcW w:w="3000" w:type="dxa"/>
            <w:shd w:val="clear" w:color="auto" w:fill="EAF1F8"/>
            <w:tcMar>
              <w:top w:w="100" w:type="dxa"/>
              <w:left w:w="120" w:type="dxa"/>
              <w:bottom w:w="100" w:type="dxa"/>
              <w:right w:w="120" w:type="dxa"/>
            </w:tcMar>
          </w:tcPr>
          <w:p w14:paraId="64632CC5" w14:textId="77777777" w:rsidR="00085382" w:rsidRDefault="003B62D0">
            <w:r>
              <w:rPr>
                <w:color w:val="262626"/>
              </w:rPr>
              <w:t>Business insights &amp; final documentation</w:t>
            </w:r>
          </w:p>
        </w:tc>
        <w:tc>
          <w:tcPr>
            <w:tcW w:w="3000" w:type="dxa"/>
            <w:shd w:val="clear" w:color="auto" w:fill="EAF1F8"/>
            <w:tcMar>
              <w:top w:w="100" w:type="dxa"/>
              <w:left w:w="120" w:type="dxa"/>
              <w:bottom w:w="100" w:type="dxa"/>
              <w:right w:w="120" w:type="dxa"/>
            </w:tcMar>
          </w:tcPr>
          <w:p w14:paraId="4BB9758E"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24DFA952" w14:textId="77777777" w:rsidR="00085382" w:rsidRDefault="003B62D0">
            <w:r>
              <w:rPr>
                <w:color w:val="262626"/>
              </w:rPr>
              <w:t>This report is part of that deliverable</w:t>
            </w:r>
          </w:p>
        </w:tc>
      </w:tr>
    </w:tbl>
    <w:p w14:paraId="55F69B65" w14:textId="77777777" w:rsidR="00085382" w:rsidRDefault="003B62D0">
      <w:pPr>
        <w:pStyle w:val="Heading1"/>
        <w:spacing w:before="360" w:after="160"/>
      </w:pPr>
      <w:r>
        <w:rPr>
          <w:b/>
          <w:bCs/>
          <w:color w:val="1F3864"/>
          <w:sz w:val="28"/>
          <w:szCs w:val="28"/>
        </w:rPr>
        <w:t>10. Recommendations &amp; Next Steps</w:t>
      </w:r>
    </w:p>
    <w:p w14:paraId="160F2FA2"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Continue monitoring campaign performance through the Power BI dashboard to support data-driven marketing decisions.</w:t>
      </w:r>
    </w:p>
    <w:p w14:paraId="5FA3121F"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Allocate more marketing budget to high-performing campaigns and channels based on ROAS and CAC.</w:t>
      </w:r>
    </w:p>
    <w:p w14:paraId="0DFB18EA"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Improve customer conversion by analyzing funnel-stage drop-offs and optimizing underperforming touchpoints.</w:t>
      </w:r>
    </w:p>
    <w:p w14:paraId="2B84D3E5" w14:textId="77777777" w:rsidR="003E6D99" w:rsidRDefault="003E6D99" w:rsidP="003E6D99">
      <w:pPr>
        <w:pStyle w:val="Heading1"/>
        <w:numPr>
          <w:ilvl w:val="0"/>
          <w:numId w:val="4"/>
        </w:numPr>
        <w:spacing w:after="160"/>
        <w:rPr>
          <w:color w:val="262626"/>
          <w:sz w:val="21"/>
          <w:szCs w:val="21"/>
        </w:rPr>
      </w:pPr>
      <w:r w:rsidRPr="003E6D99">
        <w:rPr>
          <w:color w:val="262626"/>
          <w:sz w:val="21"/>
          <w:szCs w:val="21"/>
        </w:rPr>
        <w:t>Enhance the data model by integrating campaign and platform-level datasets using a common mapping key for deeper cross-platform analysis.</w:t>
      </w:r>
    </w:p>
    <w:p w14:paraId="3F4FC8A7" w14:textId="56162B37" w:rsidR="00085382" w:rsidRDefault="003B62D0" w:rsidP="003E6D99">
      <w:pPr>
        <w:pStyle w:val="Heading1"/>
        <w:spacing w:before="360" w:after="160"/>
      </w:pPr>
      <w:r>
        <w:rPr>
          <w:b/>
          <w:bCs/>
          <w:color w:val="1F3864"/>
          <w:sz w:val="28"/>
          <w:szCs w:val="28"/>
        </w:rPr>
        <w:t>11.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85382" w14:paraId="1CC6478B" w14:textId="77777777">
        <w:trPr>
          <w:tblHeader/>
        </w:trPr>
        <w:tc>
          <w:tcPr>
            <w:tcW w:w="2200" w:type="dxa"/>
            <w:shd w:val="clear" w:color="auto" w:fill="1F3864"/>
            <w:tcMar>
              <w:top w:w="100" w:type="dxa"/>
              <w:left w:w="120" w:type="dxa"/>
              <w:bottom w:w="100" w:type="dxa"/>
              <w:right w:w="120" w:type="dxa"/>
            </w:tcMar>
          </w:tcPr>
          <w:p w14:paraId="72D18EF3" w14:textId="77777777" w:rsidR="00085382" w:rsidRDefault="003B62D0">
            <w:r>
              <w:rPr>
                <w:b/>
                <w:bCs/>
                <w:color w:val="FFFFFF"/>
              </w:rPr>
              <w:t>Layer</w:t>
            </w:r>
          </w:p>
        </w:tc>
        <w:tc>
          <w:tcPr>
            <w:tcW w:w="6800" w:type="dxa"/>
            <w:shd w:val="clear" w:color="auto" w:fill="1F3864"/>
            <w:tcMar>
              <w:top w:w="100" w:type="dxa"/>
              <w:left w:w="120" w:type="dxa"/>
              <w:bottom w:w="100" w:type="dxa"/>
              <w:right w:w="120" w:type="dxa"/>
            </w:tcMar>
          </w:tcPr>
          <w:p w14:paraId="6C65E9C6" w14:textId="77777777" w:rsidR="00085382" w:rsidRDefault="003B62D0">
            <w:r>
              <w:rPr>
                <w:b/>
                <w:bCs/>
                <w:color w:val="FFFFFF"/>
              </w:rPr>
              <w:t>Tools</w:t>
            </w:r>
          </w:p>
        </w:tc>
      </w:tr>
      <w:tr w:rsidR="00085382" w14:paraId="1493B15B" w14:textId="77777777">
        <w:tc>
          <w:tcPr>
            <w:tcW w:w="2200" w:type="dxa"/>
            <w:shd w:val="clear" w:color="auto" w:fill="FFFFFF"/>
            <w:tcMar>
              <w:top w:w="100" w:type="dxa"/>
              <w:left w:w="120" w:type="dxa"/>
              <w:bottom w:w="100" w:type="dxa"/>
              <w:right w:w="120" w:type="dxa"/>
            </w:tcMar>
          </w:tcPr>
          <w:p w14:paraId="7DB367A6" w14:textId="77777777" w:rsidR="00085382" w:rsidRDefault="003B62D0">
            <w:r>
              <w:rPr>
                <w:color w:val="262626"/>
              </w:rPr>
              <w:t>Data storage &amp; modeling</w:t>
            </w:r>
          </w:p>
        </w:tc>
        <w:tc>
          <w:tcPr>
            <w:tcW w:w="6800" w:type="dxa"/>
            <w:shd w:val="clear" w:color="auto" w:fill="FFFFFF"/>
            <w:tcMar>
              <w:top w:w="100" w:type="dxa"/>
              <w:left w:w="120" w:type="dxa"/>
              <w:bottom w:w="100" w:type="dxa"/>
              <w:right w:w="120" w:type="dxa"/>
            </w:tcMar>
          </w:tcPr>
          <w:p>
            <w:r>
              <w:t>SQLite (Star Schema, Fact &amp; Dimension Tables)</w:t>
            </w:r>
          </w:p>
        </w:tc>
      </w:tr>
      <w:tr w:rsidR="00085382" w14:paraId="2065641C" w14:textId="77777777">
        <w:tc>
          <w:tcPr>
            <w:tcW w:w="2200" w:type="dxa"/>
            <w:shd w:val="clear" w:color="auto" w:fill="EAF1F8"/>
            <w:tcMar>
              <w:top w:w="100" w:type="dxa"/>
              <w:left w:w="120" w:type="dxa"/>
              <w:bottom w:w="100" w:type="dxa"/>
              <w:right w:w="120" w:type="dxa"/>
            </w:tcMar>
          </w:tcPr>
          <w:p w14:paraId="01079A2C" w14:textId="77777777" w:rsidR="00085382" w:rsidRDefault="003B62D0">
            <w:r>
              <w:rPr>
                <w:color w:val="262626"/>
              </w:rPr>
              <w:t>Data prep &amp; analysis</w:t>
            </w:r>
          </w:p>
        </w:tc>
        <w:tc>
          <w:tcPr>
            <w:tcW w:w="6800" w:type="dxa"/>
            <w:shd w:val="clear" w:color="auto" w:fill="EAF1F8"/>
            <w:tcMar>
              <w:top w:w="100" w:type="dxa"/>
              <w:left w:w="120" w:type="dxa"/>
              <w:bottom w:w="100" w:type="dxa"/>
              <w:right w:w="120" w:type="dxa"/>
            </w:tcMar>
          </w:tcPr>
          <w:p>
            <w:r>
              <w:t>Python, Pandas, NumPy, Google Colab</w:t>
            </w:r>
          </w:p>
        </w:tc>
      </w:tr>
      <w:tr w:rsidR="00085382" w14:paraId="22EEC9CA" w14:textId="77777777">
        <w:tc>
          <w:tcPr>
            <w:tcW w:w="2200" w:type="dxa"/>
            <w:shd w:val="clear" w:color="auto" w:fill="FFFFFF"/>
            <w:tcMar>
              <w:top w:w="100" w:type="dxa"/>
              <w:left w:w="120" w:type="dxa"/>
              <w:bottom w:w="100" w:type="dxa"/>
              <w:right w:w="120" w:type="dxa"/>
            </w:tcMar>
          </w:tcPr>
          <w:p w14:paraId="6CBE576E" w14:textId="77777777" w:rsidR="00085382" w:rsidRDefault="003B62D0">
            <w:r>
              <w:rPr>
                <w:color w:val="262626"/>
              </w:rPr>
              <w:t>Statistics</w:t>
            </w:r>
          </w:p>
        </w:tc>
        <w:tc>
          <w:tcPr>
            <w:tcW w:w="6800" w:type="dxa"/>
            <w:shd w:val="clear" w:color="auto" w:fill="FFFFFF"/>
            <w:tcMar>
              <w:top w:w="100" w:type="dxa"/>
              <w:left w:w="120" w:type="dxa"/>
              <w:bottom w:w="100" w:type="dxa"/>
              <w:right w:w="120" w:type="dxa"/>
            </w:tcMar>
          </w:tcPr>
          <w:p>
            <w:r>
              <w:t>NumPy</w:t>
            </w:r>
          </w:p>
        </w:tc>
      </w:tr>
      <w:tr w:rsidR="00085382" w14:paraId="3D104719" w14:textId="77777777">
        <w:tc>
          <w:tcPr>
            <w:tcW w:w="2200" w:type="dxa"/>
            <w:shd w:val="clear" w:color="auto" w:fill="EAF1F8"/>
            <w:tcMar>
              <w:top w:w="100" w:type="dxa"/>
              <w:left w:w="120" w:type="dxa"/>
              <w:bottom w:w="100" w:type="dxa"/>
              <w:right w:w="120" w:type="dxa"/>
            </w:tcMar>
          </w:tcPr>
          <w:p w14:paraId="3DC00461" w14:textId="77777777" w:rsidR="00085382" w:rsidRDefault="003B62D0">
            <w:r>
              <w:rPr>
                <w:color w:val="262626"/>
              </w:rPr>
              <w:t>Visualization (exploratory)</w:t>
            </w:r>
          </w:p>
        </w:tc>
        <w:tc>
          <w:tcPr>
            <w:tcW w:w="6800" w:type="dxa"/>
            <w:shd w:val="clear" w:color="auto" w:fill="EAF1F8"/>
            <w:tcMar>
              <w:top w:w="100" w:type="dxa"/>
              <w:left w:w="120" w:type="dxa"/>
              <w:bottom w:w="100" w:type="dxa"/>
              <w:right w:w="120" w:type="dxa"/>
            </w:tcMar>
          </w:tcPr>
          <w:p>
            <w:r>
              <w:t>Power BI</w:t>
            </w:r>
          </w:p>
        </w:tc>
      </w:tr>
      <w:tr w:rsidR="00085382" w14:paraId="08D0468A" w14:textId="77777777">
        <w:tc>
          <w:tcPr>
            <w:tcW w:w="2200" w:type="dxa"/>
            <w:shd w:val="clear" w:color="auto" w:fill="FFFFFF"/>
            <w:tcMar>
              <w:top w:w="100" w:type="dxa"/>
              <w:left w:w="120" w:type="dxa"/>
              <w:bottom w:w="100" w:type="dxa"/>
              <w:right w:w="120" w:type="dxa"/>
            </w:tcMar>
          </w:tcPr>
          <w:p w14:paraId="3484528A" w14:textId="77777777" w:rsidR="00085382" w:rsidRDefault="003B62D0">
            <w:r>
              <w:rPr>
                <w:color w:val="262626"/>
              </w:rPr>
              <w:t>Dashboard</w:t>
            </w:r>
          </w:p>
        </w:tc>
        <w:tc>
          <w:tcPr>
            <w:tcW w:w="6800" w:type="dxa"/>
            <w:shd w:val="clear" w:color="auto" w:fill="FFFFFF"/>
            <w:tcMar>
              <w:top w:w="100" w:type="dxa"/>
              <w:left w:w="120" w:type="dxa"/>
              <w:bottom w:w="100" w:type="dxa"/>
              <w:right w:w="120" w:type="dxa"/>
            </w:tcMar>
          </w:tcPr>
          <w:p>
            <w:r>
              <w:t>Power BI</w:t>
            </w:r>
          </w:p>
        </w:tc>
      </w:tr>
      <w:tr w:rsidR="00085382" w14:paraId="6F092431" w14:textId="77777777">
        <w:tc>
          <w:tcPr>
            <w:tcW w:w="2200" w:type="dxa"/>
            <w:shd w:val="clear" w:color="auto" w:fill="EAF1F8"/>
            <w:tcMar>
              <w:top w:w="100" w:type="dxa"/>
              <w:left w:w="120" w:type="dxa"/>
              <w:bottom w:w="100" w:type="dxa"/>
              <w:right w:w="120" w:type="dxa"/>
            </w:tcMar>
          </w:tcPr>
          <w:p w14:paraId="392EE02B" w14:textId="77777777" w:rsidR="00085382" w:rsidRDefault="003B62D0">
            <w:r>
              <w:rPr>
                <w:color w:val="262626"/>
              </w:rPr>
              <w:t>File I/O</w:t>
            </w:r>
          </w:p>
        </w:tc>
        <w:tc>
          <w:tcPr>
            <w:tcW w:w="6800" w:type="dxa"/>
            <w:shd w:val="clear" w:color="auto" w:fill="EAF1F8"/>
            <w:tcMar>
              <w:top w:w="100" w:type="dxa"/>
              <w:left w:w="120" w:type="dxa"/>
              <w:bottom w:w="100" w:type="dxa"/>
              <w:right w:w="120" w:type="dxa"/>
            </w:tcMar>
          </w:tcPr>
          <w:p>
            <w:r>
              <w:t>openpyxl</w:t>
            </w:r>
          </w:p>
        </w:tc>
      </w:tr>
      <w:tr w:rsidR="00085382" w14:paraId="667B5A9E" w14:textId="77777777">
        <w:tc>
          <w:tcPr>
            <w:tcW w:w="2200" w:type="dxa"/>
            <w:shd w:val="clear" w:color="auto" w:fill="FFFFFF"/>
            <w:tcMar>
              <w:top w:w="100" w:type="dxa"/>
              <w:left w:w="120" w:type="dxa"/>
              <w:bottom w:w="100" w:type="dxa"/>
              <w:right w:w="120" w:type="dxa"/>
            </w:tcMar>
          </w:tcPr>
          <w:p w14:paraId="4CBE6675" w14:textId="77777777" w:rsidR="00085382" w:rsidRDefault="003B62D0">
            <w:r>
              <w:rPr>
                <w:color w:val="262626"/>
              </w:rPr>
              <w:t>Version control</w:t>
            </w:r>
          </w:p>
        </w:tc>
        <w:tc>
          <w:tcPr>
            <w:tcW w:w="6800" w:type="dxa"/>
            <w:shd w:val="clear" w:color="auto" w:fill="FFFFFF"/>
            <w:tcMar>
              <w:top w:w="100" w:type="dxa"/>
              <w:left w:w="120" w:type="dxa"/>
              <w:bottom w:w="100" w:type="dxa"/>
              <w:right w:w="120" w:type="dxa"/>
            </w:tcMar>
          </w:tcPr>
          <w:p>
            <w:r>
              <w:t>Git &amp; GitHub</w:t>
            </w:r>
          </w:p>
        </w:tc>
      </w:tr>
    </w:tbl>
    <w:p w14:paraId="236A1A3A" w14:textId="77777777" w:rsidR="00085382" w:rsidRPr="009A2C7C" w:rsidRDefault="003B62D0" w:rsidP="009A2C7C">
      <w:pPr>
        <w:pStyle w:val="Heading1"/>
        <w:spacing w:before="360" w:after="160"/>
        <w:rPr>
          <w:b/>
          <w:bCs/>
          <w:color w:val="1F3864"/>
          <w:sz w:val="28"/>
          <w:szCs w:val="28"/>
        </w:rPr>
      </w:pPr>
      <w:r w:rsidRPr="009A2C7C">
        <w:rPr>
          <w:b/>
          <w:bCs/>
          <w:color w:val="1F3864"/>
          <w:sz w:val="28"/>
          <w:szCs w:val="28"/>
        </w:rPr>
        <w:t>13. Conclusion</w:t>
      </w:r>
    </w:p>
    <w:p w14:paraId="387CF9EA" w14:textId="77777777" w:rsidR="00085382" w:rsidRPr="009A2C7C" w:rsidRDefault="003B62D0" w:rsidP="009A2C7C">
      <w:pPr>
        <w:pStyle w:val="Heading1"/>
        <w:numPr>
          <w:ilvl w:val="0"/>
          <w:numId w:val="4"/>
        </w:numPr>
        <w:spacing w:after="160"/>
        <w:rPr>
          <w:color w:val="262626"/>
          <w:sz w:val="21"/>
          <w:szCs w:val="21"/>
        </w:rPr>
      </w:pPr>
      <w:r w:rsidRPr="009A2C7C">
        <w:rPr>
          <w:color w:val="262626"/>
          <w:sz w:val="21"/>
          <w:szCs w:val="21"/>
        </w:rPr>
        <w:t>This project successfully delivers an end-to-end marketing analytics solution using Python, SQL/MySQL and Power BI. The solution includes data cleaning, KPI calculation, star schema modeling and interactive dashboard development, enabling stakeholders to make informed marketing decisions based on revenue, customer acquisition cost and return on advertising spend.</w:t>
      </w:r>
    </w:p>
    <w:sectPr w:rsidR="00085382" w:rsidRPr="009A2C7C">
      <w:pgSz w:w="12240" w:h="15840"/>
      <w:pgMar w:top="1080" w:right="1152" w:bottom="108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692"/>
    <w:multiLevelType w:val="hybridMultilevel"/>
    <w:tmpl w:val="CB62E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6103E8"/>
    <w:multiLevelType w:val="hybridMultilevel"/>
    <w:tmpl w:val="FDAC34BC"/>
    <w:lvl w:ilvl="0" w:tplc="7D4AF4DE">
      <w:start w:val="1"/>
      <w:numFmt w:val="bullet"/>
      <w:lvlText w:val="•"/>
      <w:lvlJc w:val="left"/>
      <w:pPr>
        <w:ind w:left="360" w:hanging="260"/>
      </w:pPr>
    </w:lvl>
    <w:lvl w:ilvl="1" w:tplc="86B4460E">
      <w:numFmt w:val="decimal"/>
      <w:lvlText w:val=""/>
      <w:lvlJc w:val="left"/>
    </w:lvl>
    <w:lvl w:ilvl="2" w:tplc="038EBF88">
      <w:numFmt w:val="decimal"/>
      <w:lvlText w:val=""/>
      <w:lvlJc w:val="left"/>
    </w:lvl>
    <w:lvl w:ilvl="3" w:tplc="6C5EBD6C">
      <w:numFmt w:val="decimal"/>
      <w:lvlText w:val=""/>
      <w:lvlJc w:val="left"/>
    </w:lvl>
    <w:lvl w:ilvl="4" w:tplc="7F8CB8FC">
      <w:numFmt w:val="decimal"/>
      <w:lvlText w:val=""/>
      <w:lvlJc w:val="left"/>
    </w:lvl>
    <w:lvl w:ilvl="5" w:tplc="40485F38">
      <w:numFmt w:val="decimal"/>
      <w:lvlText w:val=""/>
      <w:lvlJc w:val="left"/>
    </w:lvl>
    <w:lvl w:ilvl="6" w:tplc="84C03FFA">
      <w:numFmt w:val="decimal"/>
      <w:lvlText w:val=""/>
      <w:lvlJc w:val="left"/>
    </w:lvl>
    <w:lvl w:ilvl="7" w:tplc="DAA81B48">
      <w:numFmt w:val="decimal"/>
      <w:lvlText w:val=""/>
      <w:lvlJc w:val="left"/>
    </w:lvl>
    <w:lvl w:ilvl="8" w:tplc="F39C3280">
      <w:numFmt w:val="decimal"/>
      <w:lvlText w:val=""/>
      <w:lvlJc w:val="left"/>
    </w:lvl>
  </w:abstractNum>
  <w:abstractNum w:abstractNumId="2" w15:restartNumberingAfterBreak="0">
    <w:nsid w:val="3C66476A"/>
    <w:multiLevelType w:val="hybridMultilevel"/>
    <w:tmpl w:val="D082C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9B6EE9"/>
    <w:multiLevelType w:val="hybridMultilevel"/>
    <w:tmpl w:val="45BE0548"/>
    <w:lvl w:ilvl="0" w:tplc="0EA8C3A0">
      <w:start w:val="1"/>
      <w:numFmt w:val="bullet"/>
      <w:lvlText w:val="●"/>
      <w:lvlJc w:val="left"/>
      <w:pPr>
        <w:ind w:left="720" w:hanging="360"/>
      </w:pPr>
    </w:lvl>
    <w:lvl w:ilvl="1" w:tplc="646C1886">
      <w:start w:val="1"/>
      <w:numFmt w:val="bullet"/>
      <w:lvlText w:val="○"/>
      <w:lvlJc w:val="left"/>
      <w:pPr>
        <w:ind w:left="1440" w:hanging="360"/>
      </w:pPr>
    </w:lvl>
    <w:lvl w:ilvl="2" w:tplc="4CBAEED8">
      <w:start w:val="1"/>
      <w:numFmt w:val="bullet"/>
      <w:lvlText w:val="■"/>
      <w:lvlJc w:val="left"/>
      <w:pPr>
        <w:ind w:left="2160" w:hanging="360"/>
      </w:pPr>
    </w:lvl>
    <w:lvl w:ilvl="3" w:tplc="65F035AE">
      <w:start w:val="1"/>
      <w:numFmt w:val="bullet"/>
      <w:lvlText w:val="●"/>
      <w:lvlJc w:val="left"/>
      <w:pPr>
        <w:ind w:left="2880" w:hanging="360"/>
      </w:pPr>
    </w:lvl>
    <w:lvl w:ilvl="4" w:tplc="A79EC5BA">
      <w:start w:val="1"/>
      <w:numFmt w:val="bullet"/>
      <w:lvlText w:val="○"/>
      <w:lvlJc w:val="left"/>
      <w:pPr>
        <w:ind w:left="3600" w:hanging="360"/>
      </w:pPr>
    </w:lvl>
    <w:lvl w:ilvl="5" w:tplc="1C96FB3A">
      <w:start w:val="1"/>
      <w:numFmt w:val="bullet"/>
      <w:lvlText w:val="■"/>
      <w:lvlJc w:val="left"/>
      <w:pPr>
        <w:ind w:left="4320" w:hanging="360"/>
      </w:pPr>
    </w:lvl>
    <w:lvl w:ilvl="6" w:tplc="9104ED74">
      <w:start w:val="1"/>
      <w:numFmt w:val="bullet"/>
      <w:lvlText w:val="●"/>
      <w:lvlJc w:val="left"/>
      <w:pPr>
        <w:ind w:left="5040" w:hanging="360"/>
      </w:pPr>
    </w:lvl>
    <w:lvl w:ilvl="7" w:tplc="1C789E50">
      <w:start w:val="1"/>
      <w:numFmt w:val="bullet"/>
      <w:lvlText w:val="●"/>
      <w:lvlJc w:val="left"/>
      <w:pPr>
        <w:ind w:left="5760" w:hanging="360"/>
      </w:pPr>
    </w:lvl>
    <w:lvl w:ilvl="8" w:tplc="0C2A1C28">
      <w:start w:val="1"/>
      <w:numFmt w:val="bullet"/>
      <w:lvlText w:val="●"/>
      <w:lvlJc w:val="left"/>
      <w:pPr>
        <w:ind w:left="6480" w:hanging="360"/>
      </w:pPr>
    </w:lvl>
  </w:abstractNum>
  <w:num w:numId="1" w16cid:durableId="2014529639">
    <w:abstractNumId w:val="3"/>
    <w:lvlOverride w:ilvl="0">
      <w:startOverride w:val="1"/>
    </w:lvlOverride>
  </w:num>
  <w:num w:numId="2" w16cid:durableId="1596594454">
    <w:abstractNumId w:val="1"/>
    <w:lvlOverride w:ilvl="0">
      <w:startOverride w:val="1"/>
    </w:lvlOverride>
  </w:num>
  <w:num w:numId="3" w16cid:durableId="1525052203">
    <w:abstractNumId w:val="0"/>
  </w:num>
  <w:num w:numId="4" w16cid:durableId="788476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82"/>
    <w:rsid w:val="00085382"/>
    <w:rsid w:val="003B62D0"/>
    <w:rsid w:val="003E6D99"/>
    <w:rsid w:val="00551E22"/>
    <w:rsid w:val="005602A8"/>
    <w:rsid w:val="009A2C7C"/>
    <w:rsid w:val="00BB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AC0A"/>
  <w15:docId w15:val="{479676EB-5125-4D22-86A2-9B4142C1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2D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Lonali Ray</cp:lastModifiedBy>
  <cp:revision>4</cp:revision>
  <dcterms:created xsi:type="dcterms:W3CDTF">2026-07-10T06:54:00Z</dcterms:created>
  <dcterms:modified xsi:type="dcterms:W3CDTF">2026-07-10T06:57:00Z</dcterms:modified>
</cp:coreProperties>
</file>