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56CDB49" w:rsidP="1C807D8F" w:rsidRDefault="456CDB49" w14:noSpellErr="1" w14:paraId="50F9E8EE" w14:textId="7D87D650">
      <w:pPr>
        <w:pStyle w:val="Ttulo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="456CDB49">
        <w:rPr/>
        <w:t xml:space="preserve">Implementación de </w:t>
      </w:r>
      <w:r w:rsidR="0AD78909">
        <w:rPr/>
        <w:t>motivo de denegación visible para el cliente en el área privada</w:t>
      </w:r>
      <w:r w:rsidR="0BC17600">
        <w:rPr/>
        <w:t xml:space="preserve"> y envío desde CC</w:t>
      </w:r>
    </w:p>
    <w:p w:rsidR="767127D5" w:rsidP="767127D5" w:rsidRDefault="767127D5" w14:paraId="2DA2F9D1" w14:textId="5C823C44"/>
    <w:p w:rsidR="456CDB49" w:rsidP="767127D5" w:rsidRDefault="456CDB49" w14:paraId="0FC865E8" w14:textId="03EB2C1A">
      <w:pPr>
        <w:pStyle w:val="Ttulo2"/>
        <w:spacing w:before="299" w:after="299"/>
      </w:pPr>
      <w:r w:rsidRPr="004EC1D1" w:rsidR="456CDB49">
        <w:rPr>
          <w:rFonts w:ascii="Aptos" w:hAnsi="Aptos" w:eastAsia="Aptos" w:cs="Aptos"/>
          <w:b w:val="1"/>
          <w:bCs w:val="1"/>
          <w:sz w:val="36"/>
          <w:szCs w:val="36"/>
        </w:rPr>
        <w:t>DESCRIPCIÓN GENERAL</w:t>
      </w:r>
    </w:p>
    <w:p w:rsidR="4593204B" w:rsidP="004EC1D1" w:rsidRDefault="4593204B" w14:paraId="2F92DB0E" w14:noSpellErr="1" w14:textId="4898331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1C807D8F" w:rsidR="4593204B">
        <w:rPr>
          <w:rFonts w:ascii="Aptos" w:hAnsi="Aptos" w:eastAsia="Aptos" w:cs="Aptos"/>
        </w:rPr>
        <w:t>El cliente recibe el correo electrónico automático donde se recoge el motivo de denegación</w:t>
      </w:r>
      <w:r w:rsidRPr="1C807D8F" w:rsidR="7B623D1E">
        <w:rPr>
          <w:rFonts w:ascii="Aptos" w:hAnsi="Aptos" w:eastAsia="Aptos" w:cs="Aptos"/>
        </w:rPr>
        <w:t>.</w:t>
      </w:r>
    </w:p>
    <w:p w:rsidR="7B623D1E" w:rsidP="1C807D8F" w:rsidRDefault="7B623D1E" w14:paraId="66C40234" w14:textId="750D9E8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15F8CFF5" w:rsidR="7B623D1E">
        <w:rPr>
          <w:rFonts w:ascii="Aptos" w:hAnsi="Aptos" w:eastAsia="Aptos" w:cs="Aptos"/>
        </w:rPr>
        <w:t xml:space="preserve">A veces, el cliente pierde el correo o considera la información insuficiente. En estos casos, contacta con </w:t>
      </w:r>
      <w:r w:rsidRPr="15F8CFF5" w:rsidR="7B623D1E">
        <w:rPr>
          <w:rFonts w:ascii="Aptos" w:hAnsi="Aptos" w:eastAsia="Aptos" w:cs="Aptos"/>
        </w:rPr>
        <w:t>Customer</w:t>
      </w:r>
      <w:r w:rsidRPr="15F8CFF5" w:rsidR="7B623D1E">
        <w:rPr>
          <w:rFonts w:ascii="Aptos" w:hAnsi="Aptos" w:eastAsia="Aptos" w:cs="Aptos"/>
        </w:rPr>
        <w:t xml:space="preserve"> </w:t>
      </w:r>
      <w:r w:rsidRPr="15F8CFF5" w:rsidR="7B623D1E">
        <w:rPr>
          <w:rFonts w:ascii="Aptos" w:hAnsi="Aptos" w:eastAsia="Aptos" w:cs="Aptos"/>
        </w:rPr>
        <w:t>Service</w:t>
      </w:r>
      <w:r w:rsidRPr="15F8CFF5" w:rsidR="7B623D1E">
        <w:rPr>
          <w:rFonts w:ascii="Aptos" w:hAnsi="Aptos" w:eastAsia="Aptos" w:cs="Aptos"/>
        </w:rPr>
        <w:t xml:space="preserve"> para </w:t>
      </w:r>
      <w:r w:rsidRPr="15F8CFF5" w:rsidR="7B623D1E">
        <w:rPr>
          <w:rFonts w:ascii="Aptos" w:hAnsi="Aptos" w:eastAsia="Aptos" w:cs="Aptos"/>
        </w:rPr>
        <w:t>solcitar</w:t>
      </w:r>
      <w:r w:rsidRPr="15F8CFF5" w:rsidR="7B623D1E">
        <w:rPr>
          <w:rFonts w:ascii="Aptos" w:hAnsi="Aptos" w:eastAsia="Aptos" w:cs="Aptos"/>
        </w:rPr>
        <w:t xml:space="preserve"> más información.</w:t>
      </w:r>
    </w:p>
    <w:p w:rsidR="456CDB49" w:rsidP="767127D5" w:rsidRDefault="456CDB49" w14:paraId="00BD4C57" w14:textId="760B6FAA">
      <w:pPr>
        <w:spacing w:before="240" w:after="240"/>
      </w:pPr>
      <w:r w:rsidRPr="15F8CFF5" w:rsidR="456CDB49">
        <w:rPr>
          <w:rFonts w:ascii="Aptos" w:hAnsi="Aptos" w:eastAsia="Aptos" w:cs="Aptos"/>
          <w:b w:val="1"/>
          <w:bCs w:val="1"/>
        </w:rPr>
        <w:t>Objetivo:</w:t>
      </w:r>
    </w:p>
    <w:p w:rsidR="140C69C2" w:rsidP="15F8CFF5" w:rsidRDefault="140C69C2" w14:paraId="60EB5C5E" w14:textId="039CE54A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Reducir contactos a </w:t>
      </w:r>
      <w:r w:rsidRPr="15F8CFF5" w:rsidR="140C69C2">
        <w:rPr>
          <w:rFonts w:ascii="Aptos" w:hAnsi="Aptos" w:eastAsia="Aptos" w:cs="Aptos"/>
        </w:rPr>
        <w:t>Customer</w:t>
      </w:r>
      <w:r w:rsidRPr="15F8CFF5" w:rsidR="140C69C2">
        <w:rPr>
          <w:rFonts w:ascii="Aptos" w:hAnsi="Aptos" w:eastAsia="Aptos" w:cs="Aptos"/>
        </w:rPr>
        <w:t xml:space="preserve"> </w:t>
      </w:r>
      <w:r w:rsidRPr="15F8CFF5" w:rsidR="140C69C2">
        <w:rPr>
          <w:rFonts w:ascii="Aptos" w:hAnsi="Aptos" w:eastAsia="Aptos" w:cs="Aptos"/>
        </w:rPr>
        <w:t>Service</w:t>
      </w:r>
      <w:r w:rsidRPr="15F8CFF5" w:rsidR="140C69C2">
        <w:rPr>
          <w:rFonts w:ascii="Aptos" w:hAnsi="Aptos" w:eastAsia="Aptos" w:cs="Aptos"/>
        </w:rPr>
        <w:t xml:space="preserve"> habilitando la información en el área privada para el cliente</w:t>
      </w:r>
    </w:p>
    <w:p w:rsidR="140C69C2" w:rsidP="15F8CFF5" w:rsidRDefault="140C69C2" w14:paraId="7262E806" w14:textId="00E8E1A6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Reducir contactos a </w:t>
      </w:r>
      <w:r w:rsidRPr="15F8CFF5" w:rsidR="140C69C2">
        <w:rPr>
          <w:rFonts w:ascii="Aptos" w:hAnsi="Aptos" w:eastAsia="Aptos" w:cs="Aptos"/>
        </w:rPr>
        <w:t>Customer</w:t>
      </w:r>
      <w:r w:rsidRPr="15F8CFF5" w:rsidR="140C69C2">
        <w:rPr>
          <w:rFonts w:ascii="Aptos" w:hAnsi="Aptos" w:eastAsia="Aptos" w:cs="Aptos"/>
        </w:rPr>
        <w:t xml:space="preserve"> </w:t>
      </w:r>
      <w:r w:rsidRPr="15F8CFF5" w:rsidR="140C69C2">
        <w:rPr>
          <w:rFonts w:ascii="Aptos" w:hAnsi="Aptos" w:eastAsia="Aptos" w:cs="Aptos"/>
        </w:rPr>
        <w:t>Service</w:t>
      </w:r>
      <w:r w:rsidRPr="15F8CFF5" w:rsidR="140C69C2">
        <w:rPr>
          <w:rFonts w:ascii="Aptos" w:hAnsi="Aptos" w:eastAsia="Aptos" w:cs="Aptos"/>
        </w:rPr>
        <w:t xml:space="preserve"> habilitando el envío de motivo de denegación “extendido” desde el área privada</w:t>
      </w:r>
    </w:p>
    <w:p w:rsidR="140C69C2" w:rsidP="15F8CFF5" w:rsidRDefault="140C69C2" w14:paraId="75B6F340" w14:textId="21CCA025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Habilitar una opción a </w:t>
      </w:r>
      <w:r w:rsidRPr="15F8CFF5" w:rsidR="140C69C2">
        <w:rPr>
          <w:rFonts w:ascii="Aptos" w:hAnsi="Aptos" w:eastAsia="Aptos" w:cs="Aptos"/>
        </w:rPr>
        <w:t>Contact</w:t>
      </w:r>
      <w:r w:rsidRPr="15F8CFF5" w:rsidR="140C69C2">
        <w:rPr>
          <w:rFonts w:ascii="Aptos" w:hAnsi="Aptos" w:eastAsia="Aptos" w:cs="Aptos"/>
        </w:rPr>
        <w:t xml:space="preserve"> Center para que puedan lanzar el motivo de </w:t>
      </w:r>
      <w:r w:rsidRPr="15F8CFF5" w:rsidR="6DB756FC">
        <w:rPr>
          <w:rFonts w:ascii="Aptos" w:hAnsi="Aptos" w:eastAsia="Aptos" w:cs="Aptos"/>
        </w:rPr>
        <w:t>denegación</w:t>
      </w:r>
      <w:r w:rsidRPr="15F8CFF5" w:rsidR="140C69C2">
        <w:rPr>
          <w:rFonts w:ascii="Aptos" w:hAnsi="Aptos" w:eastAsia="Aptos" w:cs="Aptos"/>
        </w:rPr>
        <w:t xml:space="preserve"> “extendido” simplemente clicando un botón en </w:t>
      </w:r>
      <w:r w:rsidRPr="15F8CFF5" w:rsidR="140C69C2">
        <w:rPr>
          <w:rFonts w:ascii="Aptos" w:hAnsi="Aptos" w:eastAsia="Aptos" w:cs="Aptos"/>
        </w:rPr>
        <w:t>Ops</w:t>
      </w:r>
      <w:r w:rsidRPr="15F8CFF5" w:rsidR="140C69C2">
        <w:rPr>
          <w:rFonts w:ascii="Aptos" w:hAnsi="Aptos" w:eastAsia="Aptos" w:cs="Aptos"/>
        </w:rPr>
        <w:t xml:space="preserve"> Portal.</w:t>
      </w:r>
    </w:p>
    <w:p w:rsidR="456CDB49" w:rsidP="767127D5" w:rsidRDefault="456CDB49" w14:paraId="017D36A3" w14:textId="79368706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ALCANCE</w:t>
      </w:r>
    </w:p>
    <w:p w:rsidR="456CDB49" w:rsidP="767127D5" w:rsidRDefault="456CDB49" w14:paraId="4833EC35" w14:textId="077BBCAA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456CDB49">
        <w:rPr>
          <w:rFonts w:ascii="Aptos" w:hAnsi="Aptos" w:eastAsia="Aptos" w:cs="Aptos"/>
        </w:rPr>
        <w:t xml:space="preserve">Desarrollo que permita </w:t>
      </w:r>
      <w:r w:rsidRPr="15F8CFF5" w:rsidR="527D9545">
        <w:rPr>
          <w:rFonts w:ascii="Aptos" w:hAnsi="Aptos" w:eastAsia="Aptos" w:cs="Aptos"/>
        </w:rPr>
        <w:t>al cliente visualizar el motivo de denegación directamente en su área privada.</w:t>
      </w:r>
    </w:p>
    <w:p w:rsidR="456CDB49" w:rsidP="15F8CFF5" w:rsidRDefault="456CDB49" w14:paraId="23F9221D" w14:textId="605C3479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456CDB49">
        <w:rPr>
          <w:rFonts w:ascii="Aptos" w:hAnsi="Aptos" w:eastAsia="Aptos" w:cs="Aptos"/>
        </w:rPr>
        <w:t>Desarrollo de</w:t>
      </w:r>
      <w:r w:rsidRPr="15F8CFF5" w:rsidR="5E30D825">
        <w:rPr>
          <w:rFonts w:ascii="Aptos" w:hAnsi="Aptos" w:eastAsia="Aptos" w:cs="Aptos"/>
        </w:rPr>
        <w:t xml:space="preserve"> un botón en el área privada en el cliente para solicitar el motivo de denegación. Este debe generar y enviar automáticamente la versión extendida del motivo de denegación</w:t>
      </w:r>
    </w:p>
    <w:p w:rsidR="456CDB49" w:rsidP="767127D5" w:rsidRDefault="456CDB49" w14:paraId="61B80524" w14:textId="10B9ED39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5E30D825">
        <w:rPr>
          <w:rFonts w:ascii="Aptos" w:hAnsi="Aptos" w:eastAsia="Aptos" w:cs="Aptos"/>
        </w:rPr>
        <w:t xml:space="preserve">Habilitar para </w:t>
      </w:r>
      <w:r w:rsidRPr="15F8CFF5" w:rsidR="5E30D825">
        <w:rPr>
          <w:rFonts w:ascii="Aptos" w:hAnsi="Aptos" w:eastAsia="Aptos" w:cs="Aptos"/>
        </w:rPr>
        <w:t>Contact</w:t>
      </w:r>
      <w:r w:rsidRPr="15F8CFF5" w:rsidR="5E30D825">
        <w:rPr>
          <w:rFonts w:ascii="Aptos" w:hAnsi="Aptos" w:eastAsia="Aptos" w:cs="Aptos"/>
        </w:rPr>
        <w:t xml:space="preserve"> Center en </w:t>
      </w:r>
      <w:r w:rsidRPr="15F8CFF5" w:rsidR="5E30D825">
        <w:rPr>
          <w:rFonts w:ascii="Aptos" w:hAnsi="Aptos" w:eastAsia="Aptos" w:cs="Aptos"/>
        </w:rPr>
        <w:t>Ops</w:t>
      </w:r>
      <w:r w:rsidRPr="15F8CFF5" w:rsidR="5E30D825">
        <w:rPr>
          <w:rFonts w:ascii="Aptos" w:hAnsi="Aptos" w:eastAsia="Aptos" w:cs="Aptos"/>
        </w:rPr>
        <w:t xml:space="preserve"> Portal el mismo botón del cliente en su área privada para que lancen la comunicación automáticamente al cliente desde ahí.</w:t>
      </w:r>
    </w:p>
    <w:p w:rsidR="5D4D5D9D" w:rsidP="767127D5" w:rsidRDefault="5D4D5D9D" w14:paraId="0D078D0C" w14:textId="5E3F8233">
      <w:pPr>
        <w:pStyle w:val="Ttulo3"/>
        <w:spacing w:before="281" w:after="281"/>
      </w:pPr>
      <w:r w:rsidRPr="767127D5">
        <w:rPr>
          <w:rFonts w:ascii="Aptos" w:hAnsi="Aptos" w:eastAsia="Aptos" w:cs="Aptos"/>
          <w:b/>
          <w:bCs/>
        </w:rPr>
        <w:t>User Portal</w:t>
      </w:r>
    </w:p>
    <w:p w:rsidR="5D4D5D9D" w:rsidP="767127D5" w:rsidRDefault="5D4D5D9D" w14:paraId="5127FD98" w14:textId="55E59E86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b w:val="1"/>
          <w:bCs w:val="1"/>
        </w:rPr>
      </w:pPr>
      <w:r w:rsidRPr="15F8CFF5" w:rsidR="0EBCF778">
        <w:rPr>
          <w:rFonts w:ascii="Aptos" w:hAnsi="Aptos" w:eastAsia="Aptos" w:cs="Aptos"/>
          <w:b w:val="1"/>
          <w:bCs w:val="1"/>
        </w:rPr>
        <w:t>Dentro de la o</w:t>
      </w:r>
      <w:r w:rsidRPr="15F8CFF5" w:rsidR="4FB1A030">
        <w:rPr>
          <w:rFonts w:ascii="Aptos" w:hAnsi="Aptos" w:eastAsia="Aptos" w:cs="Aptos"/>
          <w:b w:val="1"/>
          <w:bCs w:val="1"/>
        </w:rPr>
        <w:t>rden</w:t>
      </w:r>
      <w:r w:rsidRPr="15F8CFF5" w:rsidR="5D4D5D9D">
        <w:rPr>
          <w:rFonts w:ascii="Aptos" w:hAnsi="Aptos" w:eastAsia="Aptos" w:cs="Aptos"/>
          <w:b w:val="1"/>
          <w:bCs w:val="1"/>
        </w:rPr>
        <w:t>:</w:t>
      </w:r>
    </w:p>
    <w:p w:rsidR="5D4D5D9D" w:rsidP="767127D5" w:rsidRDefault="51991329" w14:paraId="426CD97E" w14:textId="6A43B619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</w:rPr>
      </w:pPr>
      <w:r w:rsidRPr="15F8CFF5" w:rsidR="43FD381B">
        <w:rPr>
          <w:rFonts w:ascii="Aptos" w:hAnsi="Aptos" w:eastAsia="Aptos" w:cs="Aptos"/>
        </w:rPr>
        <w:t>Que la orden se etiquete como denegada (</w:t>
      </w:r>
      <w:r w:rsidRPr="15F8CFF5" w:rsidR="43FD381B">
        <w:rPr>
          <w:rFonts w:ascii="Aptos" w:hAnsi="Aptos" w:eastAsia="Aptos" w:cs="Aptos"/>
          <w:i w:val="1"/>
          <w:iCs w:val="1"/>
        </w:rPr>
        <w:t>declined</w:t>
      </w:r>
      <w:r w:rsidRPr="15F8CFF5" w:rsidR="43FD381B">
        <w:rPr>
          <w:rFonts w:ascii="Aptos" w:hAnsi="Aptos" w:eastAsia="Aptos" w:cs="Aptos"/>
        </w:rPr>
        <w:t>)</w:t>
      </w:r>
      <w:r w:rsidRPr="15F8CFF5" w:rsidR="5D4D5D9D">
        <w:rPr>
          <w:rFonts w:ascii="Aptos" w:hAnsi="Aptos" w:eastAsia="Aptos" w:cs="Aptos"/>
        </w:rPr>
        <w:t>.</w:t>
      </w:r>
      <w:r w:rsidRPr="15F8CFF5" w:rsidR="4D4EBC13">
        <w:rPr>
          <w:rFonts w:ascii="Aptos" w:hAnsi="Aptos" w:eastAsia="Aptos" w:cs="Aptos"/>
        </w:rPr>
        <w:t xml:space="preserve"> Una vez dentro de la orden, el cliente puede leer el motivo de denegación. Solo debe aparecer el párrafo explicativo y nunca </w:t>
      </w:r>
      <w:r w:rsidRPr="15F8CFF5" w:rsidR="4D4EBC13">
        <w:rPr>
          <w:rFonts w:ascii="Aptos" w:hAnsi="Aptos" w:eastAsia="Aptos" w:cs="Aptos"/>
        </w:rPr>
        <w:t>el códigos</w:t>
      </w:r>
      <w:r w:rsidRPr="15F8CFF5" w:rsidR="4D4EBC13">
        <w:rPr>
          <w:rFonts w:ascii="Aptos" w:hAnsi="Aptos" w:eastAsia="Aptos" w:cs="Aptos"/>
        </w:rPr>
        <w:t xml:space="preserve"> de riesgos (ejemplo RISCOM).</w:t>
      </w:r>
    </w:p>
    <w:p w:rsidR="4D4EBC13" w:rsidP="15F8CFF5" w:rsidRDefault="4D4EBC13" w14:paraId="1F7543BE" w14:textId="3CFE47E7">
      <w:pPr>
        <w:pStyle w:val="Prrafodelista"/>
        <w:numPr>
          <w:ilvl w:val="1"/>
          <w:numId w:val="4"/>
        </w:numPr>
        <w:spacing w:before="240" w:after="240"/>
        <w:rPr>
          <w:noProof w:val="0"/>
          <w:lang w:val="es-ES"/>
        </w:rPr>
      </w:pPr>
      <w:r w:rsidRPr="15F8CFF5" w:rsidR="4D4EBC13">
        <w:rPr>
          <w:rFonts w:ascii="Aptos" w:hAnsi="Aptos" w:eastAsia="Aptos" w:cs="Aptos"/>
        </w:rPr>
        <w:t xml:space="preserve">Habilitar un botón que permita al cliente accionar la generación de un correo automático que incluya la plantilla de </w:t>
      </w:r>
      <w:r w:rsidRPr="15F8CFF5" w:rsidR="4D4EBC13">
        <w:rPr>
          <w:rFonts w:ascii="Aptos" w:hAnsi="Aptos" w:eastAsia="Aptos" w:cs="Aptos"/>
        </w:rPr>
        <w:t xml:space="preserve">rechazo </w:t>
      </w:r>
      <w:r w:rsidRPr="15F8CFF5" w:rsidR="2FC2E587">
        <w:rPr>
          <w:noProof w:val="0"/>
          <w:lang w:val="es-ES"/>
        </w:rPr>
        <w:t xml:space="preserve"> </w:t>
      </w:r>
      <w:hyperlink r:id="Ra6027aaaaa7c431a">
        <w:r w:rsidRPr="15F8CFF5" w:rsidR="31A42335">
          <w:rPr>
            <w:rStyle w:val="Hyperlink"/>
            <w:noProof w:val="0"/>
            <w:lang w:val="es-ES"/>
          </w:rPr>
          <w:t>Reason of Denial - BRD</w:t>
        </w:r>
      </w:hyperlink>
      <w:r w:rsidRPr="15F8CFF5" w:rsidR="31A42335">
        <w:rPr>
          <w:noProof w:val="0"/>
          <w:lang w:val="es-ES"/>
        </w:rPr>
        <w:t xml:space="preserve"> </w:t>
      </w:r>
      <w:r w:rsidRPr="15F8CFF5" w:rsidR="2FC2E587">
        <w:rPr>
          <w:noProof w:val="0"/>
          <w:lang w:val="es-ES"/>
        </w:rPr>
        <w:t>completada</w:t>
      </w:r>
      <w:r w:rsidRPr="15F8CFF5" w:rsidR="2FC2E587">
        <w:rPr>
          <w:noProof w:val="0"/>
          <w:lang w:val="es-ES"/>
        </w:rPr>
        <w:t xml:space="preserve"> con el motivo de denegación correspondiente. </w:t>
      </w:r>
      <w:hyperlink r:id="Re4becd23ad864422">
        <w:r w:rsidRPr="15F8CFF5" w:rsidR="2FC2E587">
          <w:rPr>
            <w:rStyle w:val="Hyperlink"/>
            <w:noProof w:val="0"/>
            <w:lang w:val="es-ES"/>
          </w:rPr>
          <w:t>Reason of Denial.docx</w:t>
        </w:r>
      </w:hyperlink>
    </w:p>
    <w:p w:rsidR="752B251E" w:rsidP="15F8CFF5" w:rsidRDefault="752B251E" w14:paraId="59CD4845" w14:textId="117A7EE5">
      <w:pPr>
        <w:pStyle w:val="Ttulo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</w:rPr>
      </w:pPr>
      <w:r w:rsidRPr="15F8CFF5" w:rsidR="752B251E">
        <w:rPr>
          <w:rFonts w:ascii="Aptos" w:hAnsi="Aptos" w:eastAsia="Aptos" w:cs="Aptos"/>
          <w:b w:val="1"/>
          <w:bCs w:val="1"/>
        </w:rPr>
        <w:t>OPs</w:t>
      </w:r>
      <w:r w:rsidRPr="15F8CFF5" w:rsidR="752B251E">
        <w:rPr>
          <w:rFonts w:ascii="Aptos" w:hAnsi="Aptos" w:eastAsia="Aptos" w:cs="Aptos"/>
          <w:b w:val="1"/>
          <w:bCs w:val="1"/>
        </w:rPr>
        <w:t xml:space="preserve"> Portal</w:t>
      </w:r>
    </w:p>
    <w:p w:rsidR="29FDBD9E" w:rsidP="15F8CFF5" w:rsidRDefault="29FDBD9E" w14:paraId="3C43435B" w14:textId="190ECF76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b w:val="1"/>
          <w:bCs w:val="1"/>
        </w:rPr>
      </w:pPr>
      <w:r w:rsidRPr="15F8CFF5" w:rsidR="29FDBD9E">
        <w:rPr>
          <w:rFonts w:ascii="Aptos" w:hAnsi="Aptos" w:eastAsia="Aptos" w:cs="Aptos"/>
          <w:b w:val="1"/>
          <w:bCs w:val="1"/>
        </w:rPr>
        <w:t>Dentro de la orden:</w:t>
      </w:r>
    </w:p>
    <w:p w:rsidR="29FDBD9E" w:rsidP="15F8CFF5" w:rsidRDefault="29FDBD9E" w14:paraId="150F6B8C" w14:textId="26D26719">
      <w:pPr>
        <w:pStyle w:val="Prrafodelista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</w:rPr>
      </w:pPr>
      <w:r w:rsidRPr="15F8CFF5" w:rsidR="29FDBD9E">
        <w:rPr>
          <w:rFonts w:ascii="Aptos" w:hAnsi="Aptos" w:eastAsia="Aptos" w:cs="Aptos"/>
        </w:rPr>
        <w:t>Habilitar una opción para que el agente pueda lanzar automáticamente el correo de denegación extendido, igual que en User Portal.</w:t>
      </w:r>
    </w:p>
    <w:p w:rsidR="15F8CFF5" w:rsidP="15F8CFF5" w:rsidRDefault="15F8CFF5" w14:paraId="28741EB8" w14:textId="310DA830">
      <w:pPr>
        <w:pStyle w:val="Normal"/>
        <w:bidi w:val="0"/>
      </w:pPr>
    </w:p>
    <w:p w:rsidR="767127D5" w:rsidP="767127D5" w:rsidRDefault="767127D5" w14:paraId="0C2044CF" w14:textId="639018A1"/>
    <w:p w:rsidR="767127D5" w:rsidP="767127D5" w:rsidRDefault="767127D5" w14:paraId="51DB5C1F" w14:textId="57526336"/>
    <w:sectPr w:rsidR="767127D5">
      <w:headerReference w:type="even" r:id="rId7"/>
      <w:headerReference w:type="default" r:id="rId8"/>
      <w:headerReference w:type="firs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620" w:rsidP="004B721B" w:rsidRDefault="00B22620" w14:paraId="1F4B6908" w14:textId="77777777">
      <w:pPr>
        <w:spacing w:after="0" w:line="240" w:lineRule="auto"/>
      </w:pPr>
      <w:r>
        <w:separator/>
      </w:r>
    </w:p>
  </w:endnote>
  <w:endnote w:type="continuationSeparator" w:id="0">
    <w:p w:rsidR="00B22620" w:rsidP="004B721B" w:rsidRDefault="00B22620" w14:paraId="174E06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620" w:rsidP="004B721B" w:rsidRDefault="00B22620" w14:paraId="0E47B542" w14:textId="77777777">
      <w:pPr>
        <w:spacing w:after="0" w:line="240" w:lineRule="auto"/>
      </w:pPr>
      <w:r>
        <w:separator/>
      </w:r>
    </w:p>
  </w:footnote>
  <w:footnote w:type="continuationSeparator" w:id="0">
    <w:p w:rsidR="00B22620" w:rsidP="004B721B" w:rsidRDefault="00B22620" w14:paraId="00D04A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285F27B5" w14:textId="3E3BAD2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6F66ED" wp14:editId="259010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8393934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098105C3" w14:textId="35C6C56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6F66ED">
              <v:stroke joinstyle="miter"/>
              <v:path gradientshapeok="t" o:connecttype="rect"/>
            </v:shapetype>
            <v:shape id="Cuadro de texto 2" style="position:absolute;margin-left:0;margin-top:0;width:71pt;height:29.2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textbox style="mso-fit-shape-to-text:t" inset="20pt,15pt,0,0">
                <w:txbxContent>
                  <w:p w:rsidRPr="004B721B" w:rsidR="004B721B" w:rsidP="004B721B" w:rsidRDefault="004B721B" w14:paraId="098105C3" w14:textId="35C6C56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7025EF29" w14:textId="60EB0C1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43B50AE" wp14:editId="398620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88157858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63C6A7BE" w14:textId="571E1E8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3B50AE">
              <v:stroke joinstyle="miter"/>
              <v:path gradientshapeok="t" o:connecttype="rect"/>
            </v:shapetype>
            <v:shape id="Cuadro de texto 3" style="position:absolute;margin-left:0;margin-top:0;width:71pt;height:29.2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textbox style="mso-fit-shape-to-text:t" inset="20pt,15pt,0,0">
                <w:txbxContent>
                  <w:p w:rsidRPr="004B721B" w:rsidR="004B721B" w:rsidP="004B721B" w:rsidRDefault="004B721B" w14:paraId="63C6A7BE" w14:textId="571E1E8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1C1AC1DF" w14:textId="069F661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1C1364" wp14:editId="445732B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118809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5BB3FEF6" w14:textId="23490BD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C1364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textbox style="mso-fit-shape-to-text:t" inset="20pt,15pt,0,0">
                <w:txbxContent>
                  <w:p w:rsidRPr="004B721B" w:rsidR="004B721B" w:rsidP="004B721B" w:rsidRDefault="004B721B" w14:paraId="5BB3FEF6" w14:textId="23490BD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0660"/>
    <w:multiLevelType w:val="hybridMultilevel"/>
    <w:tmpl w:val="ED628E88"/>
    <w:lvl w:ilvl="0" w:tplc="990840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4B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5EC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A8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44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74A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42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65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163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1AC3B6"/>
    <w:multiLevelType w:val="hybridMultilevel"/>
    <w:tmpl w:val="20AA995E"/>
    <w:lvl w:ilvl="0" w:tplc="2DEAC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69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320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2E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4FB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A8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DC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5C4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08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649654"/>
    <w:multiLevelType w:val="hybridMultilevel"/>
    <w:tmpl w:val="DFE298B8"/>
    <w:lvl w:ilvl="0" w:tplc="526A2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A4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C8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0F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5AB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0B3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563D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1624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AEE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4B5F28"/>
    <w:multiLevelType w:val="hybridMultilevel"/>
    <w:tmpl w:val="7B84DCA0"/>
    <w:lvl w:ilvl="0" w:tplc="7FF439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8C1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C8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49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C87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7C4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A20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CA0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0E3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92E1C4"/>
    <w:multiLevelType w:val="hybridMultilevel"/>
    <w:tmpl w:val="BDE8F9AA"/>
    <w:lvl w:ilvl="0" w:tplc="9E48E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CB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E64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A2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A4F6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81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E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428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8C6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9534DC"/>
    <w:multiLevelType w:val="hybridMultilevel"/>
    <w:tmpl w:val="FB22E236"/>
    <w:lvl w:ilvl="0" w:tplc="EB549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62A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46D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4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E1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E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C4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1D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C3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8057636">
    <w:abstractNumId w:val="0"/>
  </w:num>
  <w:num w:numId="2" w16cid:durableId="602418390">
    <w:abstractNumId w:val="5"/>
  </w:num>
  <w:num w:numId="3" w16cid:durableId="1360617764">
    <w:abstractNumId w:val="4"/>
  </w:num>
  <w:num w:numId="4" w16cid:durableId="649795320">
    <w:abstractNumId w:val="2"/>
  </w:num>
  <w:num w:numId="5" w16cid:durableId="2123067455">
    <w:abstractNumId w:val="3"/>
  </w:num>
  <w:num w:numId="6" w16cid:durableId="203923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836"/>
    <w:rsid w:val="000D28B8"/>
    <w:rsid w:val="000E020E"/>
    <w:rsid w:val="00371B00"/>
    <w:rsid w:val="004B721B"/>
    <w:rsid w:val="004EC1D1"/>
    <w:rsid w:val="0061119C"/>
    <w:rsid w:val="00634858"/>
    <w:rsid w:val="009A0870"/>
    <w:rsid w:val="00B22620"/>
    <w:rsid w:val="00C20856"/>
    <w:rsid w:val="00DF4814"/>
    <w:rsid w:val="035A7913"/>
    <w:rsid w:val="04E9A0B3"/>
    <w:rsid w:val="05C803A5"/>
    <w:rsid w:val="07A4489A"/>
    <w:rsid w:val="08743D0C"/>
    <w:rsid w:val="091D4B18"/>
    <w:rsid w:val="0AD78909"/>
    <w:rsid w:val="0B04B074"/>
    <w:rsid w:val="0B942B20"/>
    <w:rsid w:val="0BC17600"/>
    <w:rsid w:val="0EBCF778"/>
    <w:rsid w:val="0F1D5694"/>
    <w:rsid w:val="0F4533D8"/>
    <w:rsid w:val="0FB0E122"/>
    <w:rsid w:val="119FD108"/>
    <w:rsid w:val="12FCD002"/>
    <w:rsid w:val="140C69C2"/>
    <w:rsid w:val="15F8CFF5"/>
    <w:rsid w:val="1983F48C"/>
    <w:rsid w:val="1C807D8F"/>
    <w:rsid w:val="1D1E269B"/>
    <w:rsid w:val="1FD69742"/>
    <w:rsid w:val="2128E5F3"/>
    <w:rsid w:val="2154F030"/>
    <w:rsid w:val="23D18FB3"/>
    <w:rsid w:val="24BBBA88"/>
    <w:rsid w:val="24BEDCB2"/>
    <w:rsid w:val="255C38A6"/>
    <w:rsid w:val="29FDBD9E"/>
    <w:rsid w:val="2AAF6207"/>
    <w:rsid w:val="2E6AD594"/>
    <w:rsid w:val="2FC2E587"/>
    <w:rsid w:val="31A42335"/>
    <w:rsid w:val="34C905C4"/>
    <w:rsid w:val="37F3D7E0"/>
    <w:rsid w:val="3951BD71"/>
    <w:rsid w:val="3EB748CB"/>
    <w:rsid w:val="3F648836"/>
    <w:rsid w:val="3F689F80"/>
    <w:rsid w:val="4344EEE2"/>
    <w:rsid w:val="43FD381B"/>
    <w:rsid w:val="44736307"/>
    <w:rsid w:val="456CDB49"/>
    <w:rsid w:val="4593204B"/>
    <w:rsid w:val="45E8BA02"/>
    <w:rsid w:val="460861E7"/>
    <w:rsid w:val="4D4EBC13"/>
    <w:rsid w:val="4E9264A5"/>
    <w:rsid w:val="4FB1A030"/>
    <w:rsid w:val="500C5CFB"/>
    <w:rsid w:val="5077A0C9"/>
    <w:rsid w:val="51991329"/>
    <w:rsid w:val="527D9545"/>
    <w:rsid w:val="5963453E"/>
    <w:rsid w:val="5AA7CB56"/>
    <w:rsid w:val="5B7332A3"/>
    <w:rsid w:val="5CFB089B"/>
    <w:rsid w:val="5D4D5D9D"/>
    <w:rsid w:val="5D86F8DA"/>
    <w:rsid w:val="5E30D825"/>
    <w:rsid w:val="60AFEC77"/>
    <w:rsid w:val="610639DD"/>
    <w:rsid w:val="613FE7FD"/>
    <w:rsid w:val="62B45636"/>
    <w:rsid w:val="63D8C05E"/>
    <w:rsid w:val="6CD4C489"/>
    <w:rsid w:val="6D6F63A1"/>
    <w:rsid w:val="6DB756FC"/>
    <w:rsid w:val="6EC045BB"/>
    <w:rsid w:val="7210041B"/>
    <w:rsid w:val="73F068F7"/>
    <w:rsid w:val="74A7116B"/>
    <w:rsid w:val="752B251E"/>
    <w:rsid w:val="767127D5"/>
    <w:rsid w:val="79619BDD"/>
    <w:rsid w:val="7B623D1E"/>
    <w:rsid w:val="7EE2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7913"/>
  <w15:chartTrackingRefBased/>
  <w15:docId w15:val="{13CD79AC-DDE4-4088-9AD0-0B9FD05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67127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721B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721B"/>
  </w:style>
  <w:style w:type="paragraph" w:styleId="Prrafodelista">
    <w:name w:val="List Paragraph"/>
    <w:basedOn w:val="Normal"/>
    <w:uiPriority w:val="34"/>
    <w:qFormat/>
    <w:rsid w:val="767127D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semiHidden/>
    <w:unhideWhenUsed/>
    <w:rsid w:val="009A087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9A0870"/>
  </w:style>
  <w:style w:type="character" w:styleId="Hyperlink">
    <w:uiPriority w:val="99"/>
    <w:name w:val="Hyperlink"/>
    <w:basedOn w:val="Fuentedeprrafopredeter"/>
    <w:unhideWhenUsed/>
    <w:rsid w:val="15F8CF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Relationship Type="http://schemas.openxmlformats.org/officeDocument/2006/relationships/customXml" Target="../customXml/item3.xml" Id="rId14" /><Relationship Type="http://schemas.openxmlformats.org/officeDocument/2006/relationships/hyperlink" Target="https://santandernet.sharepoint.com/:w:/r/sites/Zinia-AwarenessTrainingportal/_layouts/15/Doc.aspx?sourcedoc=%7B8878755a-1f31-43d0-b47e-1cd810682526%7D&amp;action=edit&amp;wdPreviousSession=6bc43707-c4c8-e5fe-7c06-147e032b1608" TargetMode="External" Id="Ra6027aaaaa7c431a" /><Relationship Type="http://schemas.openxmlformats.org/officeDocument/2006/relationships/hyperlink" Target="https://santandernet.sharepoint.com/:w:/r/sites/Zinia-AwarenessTrainingportal/_layouts/15/Doc.aspx?sourcedoc=%7BBAF1F06B-F26E-4FD1-905E-DEC16F56C97A%7D&amp;file=Reason%20of%20Denial.docx&amp;action=default&amp;mobileredirect=true" TargetMode="External" Id="Re4becd23ad8644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ADF15CC0-89FE-40A7-B3CA-E8AC71F2348E}"/>
</file>

<file path=customXml/itemProps2.xml><?xml version="1.0" encoding="utf-8"?>
<ds:datastoreItem xmlns:ds="http://schemas.openxmlformats.org/officeDocument/2006/customXml" ds:itemID="{D93F634F-0153-4BAF-A773-EEEAB1F108F3}"/>
</file>

<file path=customXml/itemProps3.xml><?xml version="1.0" encoding="utf-8"?>
<ds:datastoreItem xmlns:ds="http://schemas.openxmlformats.org/officeDocument/2006/customXml" ds:itemID="{D2476558-F4B6-49DF-8994-950ADBD07A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5</cp:revision>
  <dcterms:created xsi:type="dcterms:W3CDTF">2025-12-02T08:30:00Z</dcterms:created>
  <dcterms:modified xsi:type="dcterms:W3CDTF">2026-02-19T16:27:28Z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aab77d,2eb9f714,70269c57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2025-11-17T11:30:33Z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cfad79e3-ae66-4466-ae7f-6f3cf70d6733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  <property fmtid="{D5CDD505-2E9C-101B-9397-08002B2CF9AE}" pid="13" name="ContentTypeId">
    <vt:lpwstr>0x010100BFED8A019CA703489589A62196CDA980</vt:lpwstr>
  </property>
  <property fmtid="{D5CDD505-2E9C-101B-9397-08002B2CF9AE}" pid="14" name="MediaServiceImageTags">
    <vt:lpwstr/>
  </property>
</Properties>
</file>