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37" w:rsidRPr="00BE5D9B" w:rsidRDefault="00FC6837" w:rsidP="00FC6837">
      <w:pPr>
        <w:spacing w:line="360" w:lineRule="auto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t xml:space="preserve">Table S1. 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Nutritional components of milk replacer, starter, and </w:t>
      </w:r>
      <w:bookmarkStart w:id="0" w:name="OLE_LINK278"/>
      <w:bookmarkStart w:id="1" w:name="OLE_LINK279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alfalfa </w:t>
      </w:r>
      <w:r w:rsidRPr="00BE5D9B">
        <w:rPr>
          <w:rFonts w:ascii="Times New Roman" w:hAnsi="Times New Roman" w:cs="Times New Roman"/>
          <w:sz w:val="24"/>
          <w:szCs w:val="24"/>
        </w:rPr>
        <w:t>pellets</w:t>
      </w:r>
      <w:bookmarkEnd w:id="0"/>
      <w:bookmarkEnd w:id="1"/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96"/>
        <w:gridCol w:w="1556"/>
        <w:gridCol w:w="1596"/>
      </w:tblGrid>
      <w:tr w:rsidR="00FC6837" w:rsidRPr="00BE5D9B" w:rsidTr="00FC683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Item</w:t>
            </w:r>
            <w:r w:rsidR="00697233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bookmarkStart w:id="2" w:name="OLE_LINK18"/>
            <w:bookmarkStart w:id="3" w:name="OLE_LINK19"/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Milk Replacer</w:t>
            </w:r>
            <w:bookmarkEnd w:id="2"/>
            <w:bookmarkEnd w:id="3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Starter 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Pellets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Alfalfa 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Pellets</w:t>
            </w:r>
          </w:p>
        </w:tc>
      </w:tr>
      <w:tr w:rsidR="00FC6837" w:rsidRPr="00BE5D9B" w:rsidTr="00FC6837">
        <w:tc>
          <w:tcPr>
            <w:tcW w:w="0" w:type="auto"/>
            <w:gridSpan w:val="4"/>
            <w:tcBorders>
              <w:top w:val="single" w:sz="4" w:space="0" w:color="auto"/>
              <w:bottom w:val="nil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Chemical composition, % of DM basis</w:t>
            </w:r>
          </w:p>
        </w:tc>
      </w:tr>
      <w:tr w:rsidR="00FC6837" w:rsidRPr="00BE5D9B" w:rsidTr="00FC6837">
        <w:tc>
          <w:tcPr>
            <w:tcW w:w="0" w:type="auto"/>
            <w:tcBorders>
              <w:top w:val="nil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DM</w:t>
            </w:r>
            <w:bookmarkStart w:id="4" w:name="OLE_LINK276"/>
            <w:bookmarkStart w:id="5" w:name="OLE_LINK277"/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 (%)</w:t>
            </w:r>
            <w:bookmarkEnd w:id="4"/>
            <w:bookmarkEnd w:id="5"/>
          </w:p>
        </w:tc>
        <w:tc>
          <w:tcPr>
            <w:tcW w:w="0" w:type="auto"/>
            <w:tcBorders>
              <w:top w:val="nil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95.50</w:t>
            </w:r>
          </w:p>
        </w:tc>
        <w:tc>
          <w:tcPr>
            <w:tcW w:w="0" w:type="auto"/>
            <w:tcBorders>
              <w:top w:val="nil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95.25</w:t>
            </w:r>
          </w:p>
        </w:tc>
        <w:tc>
          <w:tcPr>
            <w:tcW w:w="0" w:type="auto"/>
            <w:tcBorders>
              <w:top w:val="nil"/>
            </w:tcBorders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95.53</w:t>
            </w:r>
          </w:p>
        </w:tc>
      </w:tr>
      <w:tr w:rsidR="00FC6837" w:rsidRPr="00BE5D9B" w:rsidTr="00FC6837">
        <w:trPr>
          <w:trHeight w:val="90"/>
        </w:trPr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Total Energy (MJ/Kg)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20.74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18.03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17.39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CP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25.52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19.63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14.77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EE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15.96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3.40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1.04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NDF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ind w:firstLineChars="50" w:firstLine="120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---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29.62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51.45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ADF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ind w:firstLineChars="50" w:firstLine="120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---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8.64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35.20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Ash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6.54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7.99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11.98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Ca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1.02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0.90</w:t>
            </w:r>
          </w:p>
        </w:tc>
      </w:tr>
      <w:tr w:rsidR="00FC6837" w:rsidRPr="00BE5D9B" w:rsidTr="00FC6837"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P (%)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0.66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440" w:lineRule="atLeast"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0.48</w:t>
            </w:r>
          </w:p>
        </w:tc>
      </w:tr>
    </w:tbl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E5D9B">
        <w:rPr>
          <w:rFonts w:ascii="Times New Roman" w:hAnsi="Times New Roman" w:cs="Times New Roman"/>
          <w:kern w:val="0"/>
          <w:sz w:val="24"/>
          <w:szCs w:val="24"/>
        </w:rPr>
        <w:t>DM</w:t>
      </w:r>
      <w:proofErr w:type="gramStart"/>
      <w:r w:rsidRPr="00BE5D9B">
        <w:rPr>
          <w:rFonts w:ascii="Times New Roman" w:hAnsi="Times New Roman" w:cs="Times New Roman"/>
          <w:kern w:val="0"/>
          <w:sz w:val="24"/>
          <w:szCs w:val="24"/>
        </w:rPr>
        <w:t>:Dry</w:t>
      </w:r>
      <w:proofErr w:type="spellEnd"/>
      <w:proofErr w:type="gramEnd"/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matter; </w:t>
      </w:r>
      <w:proofErr w:type="spellStart"/>
      <w:r w:rsidRPr="00BE5D9B">
        <w:rPr>
          <w:rFonts w:ascii="Times New Roman" w:hAnsi="Times New Roman" w:cs="Times New Roman"/>
          <w:kern w:val="0"/>
          <w:sz w:val="24"/>
          <w:szCs w:val="24"/>
        </w:rPr>
        <w:t>CP:Crude</w:t>
      </w:r>
      <w:proofErr w:type="spellEnd"/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protein; EE: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>Ether extract; NDF: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>Neutral detergent fibers; ADF: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>Acid detergent fiber; Ash: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>Crude ash.</w:t>
      </w:r>
    </w:p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br w:type="page"/>
      </w:r>
    </w:p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E5D9B">
        <w:rPr>
          <w:rFonts w:ascii="Times New Roman" w:eastAsia="SimHei" w:hAnsi="Times New Roman" w:cs="Times New Roman"/>
          <w:b/>
          <w:kern w:val="0"/>
          <w:sz w:val="24"/>
          <w:szCs w:val="24"/>
        </w:rPr>
        <w:lastRenderedPageBreak/>
        <w:t>Table S2</w:t>
      </w:r>
      <w:r w:rsidRPr="00BE5D9B">
        <w:rPr>
          <w:rFonts w:ascii="Times New Roman" w:eastAsia="SimHei" w:hAnsi="Times New Roman" w:cs="Times New Roman"/>
          <w:kern w:val="0"/>
          <w:sz w:val="24"/>
          <w:szCs w:val="24"/>
        </w:rPr>
        <w:t xml:space="preserve"> Effect of early supplementary solid diet on growth performance of goat kids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79"/>
        <w:gridCol w:w="948"/>
        <w:gridCol w:w="990"/>
        <w:gridCol w:w="1003"/>
        <w:gridCol w:w="756"/>
        <w:gridCol w:w="1012"/>
      </w:tblGrid>
      <w:tr w:rsidR="00FC6837" w:rsidRPr="00BE5D9B" w:rsidTr="00FC6837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MRO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MRC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535438457"/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Milk replacer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130.62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107.91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119.90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0.1696</w:t>
            </w: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Concentrate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188.18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189.56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4.82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0.8956</w:t>
            </w: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Alfalfa pellets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34.34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---</w:t>
            </w: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Dry matter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122.47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271.50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309.97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&lt;0.0001</w:t>
            </w: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2525666"/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Protein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31.33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58.52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66.37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&lt;0.0001</w:t>
            </w:r>
          </w:p>
        </w:tc>
      </w:tr>
      <w:bookmarkEnd w:id="7"/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NDF-Neutral detergent fiber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49.25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66.08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0.0004</w:t>
            </w:r>
          </w:p>
        </w:tc>
      </w:tr>
      <w:tr w:rsidR="00FC6837" w:rsidRPr="00BE5D9B" w:rsidTr="00FC683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NFC-Non-fibrous carbohydrate intake/(g•d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63.82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118.16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131.15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7.94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&lt;0.0001 </w:t>
            </w:r>
          </w:p>
        </w:tc>
      </w:tr>
    </w:tbl>
    <w:bookmarkEnd w:id="6"/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MRO=milk replacer, MRC= milk replacer + concentrate, MCA=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milk replacer + concentrate + alfalfa;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SEM = Standard error of the means.</w:t>
      </w: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In the same row, values with different small letter superscripts mean significant difference (</w:t>
      </w:r>
      <w:r w:rsidRPr="00BE5D9B">
        <w:rPr>
          <w:rFonts w:ascii="Times New Roman" w:eastAsia="SimSun" w:hAnsi="Times New Roman" w:cs="Times New Roman"/>
          <w:i/>
          <w:kern w:val="0"/>
          <w:sz w:val="24"/>
          <w:szCs w:val="24"/>
        </w:rPr>
        <w:t>P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＜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0.05). </w:t>
      </w:r>
    </w:p>
    <w:p w:rsidR="00FC6837" w:rsidRPr="00BE5D9B" w:rsidRDefault="00E12907" w:rsidP="00FC6837">
      <w:pPr>
        <w:autoSpaceDE w:val="0"/>
        <w:autoSpaceDN w:val="0"/>
        <w:spacing w:line="276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5E7C7E">
        <w:rPr>
          <w:rFonts w:ascii="Times New Roman" w:hAnsi="Times New Roman" w:cs="Times New Roman"/>
          <w:color w:val="231F20"/>
          <w:sz w:val="24"/>
          <w:szCs w:val="24"/>
        </w:rPr>
        <w:t>Only data of table S1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(dietary composition)</w:t>
      </w:r>
      <w:r w:rsidRPr="005E7C7E">
        <w:rPr>
          <w:rFonts w:ascii="Times New Roman" w:hAnsi="Times New Roman" w:cs="Times New Roman"/>
          <w:color w:val="231F20"/>
          <w:sz w:val="24"/>
          <w:szCs w:val="24"/>
        </w:rPr>
        <w:t xml:space="preserve"> and table S2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(growth performance) </w:t>
      </w:r>
      <w:r w:rsidR="00FC6837" w:rsidRPr="00BE5D9B">
        <w:rPr>
          <w:rFonts w:ascii="Times New Roman" w:eastAsia="SimSun" w:hAnsi="Times New Roman" w:cs="Times New Roman"/>
          <w:kern w:val="0"/>
          <w:sz w:val="24"/>
          <w:szCs w:val="24"/>
        </w:rPr>
        <w:t>were published in Chinese journal paper, thus the authors translated into English since the nutrient intake were used in this draft. (</w:t>
      </w:r>
      <w:r w:rsidR="00FC6837" w:rsidRPr="00BE5D9B">
        <w:rPr>
          <w:rStyle w:val="style1"/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r w:rsidR="00FC6837" w:rsidRPr="00BE5D9B">
        <w:rPr>
          <w:rFonts w:ascii="Times New Roman" w:hAnsi="Times New Roman" w:cs="Times New Roman"/>
          <w:sz w:val="24"/>
          <w:szCs w:val="24"/>
          <w:shd w:val="clear" w:color="auto" w:fill="FFFFFF"/>
        </w:rPr>
        <w:t>: 10.11843/j.issn.0366-6964.2019.05.011</w:t>
      </w:r>
      <w:r w:rsidR="00FC6837" w:rsidRPr="00BE5D9B">
        <w:rPr>
          <w:rFonts w:ascii="Times New Roman" w:eastAsia="SimSun" w:hAnsi="Times New Roman" w:cs="Times New Roman"/>
          <w:kern w:val="0"/>
          <w:sz w:val="24"/>
          <w:szCs w:val="24"/>
        </w:rPr>
        <w:t>).</w:t>
      </w: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br w:type="page"/>
      </w: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 xml:space="preserve">Table S3.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>Effects of early supplementary solid diet on growth performance and rumen fermentation parameters in goat kids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1"/>
        <w:gridCol w:w="836"/>
        <w:gridCol w:w="1110"/>
        <w:gridCol w:w="948"/>
        <w:gridCol w:w="756"/>
        <w:gridCol w:w="1072"/>
      </w:tblGrid>
      <w:tr w:rsidR="00FC6837" w:rsidRPr="00BE5D9B" w:rsidTr="00FC6837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Treatments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P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-value</w:t>
            </w:r>
          </w:p>
        </w:tc>
      </w:tr>
      <w:tr w:rsidR="00FC6837" w:rsidRPr="00BE5D9B" w:rsidTr="00FC6837">
        <w:tc>
          <w:tcPr>
            <w:tcW w:w="0" w:type="auto"/>
            <w:shd w:val="clear" w:color="auto" w:fill="auto"/>
            <w:vAlign w:val="center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MRO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ind w:firstLineChars="150" w:firstLine="36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MRC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C6837" w:rsidRPr="00BE5D9B" w:rsidTr="00FC6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Slaughter BW, 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7.01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10.47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10.23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&lt;0.000 1</w:t>
            </w:r>
          </w:p>
        </w:tc>
      </w:tr>
      <w:tr w:rsidR="00FC6837" w:rsidRPr="00BE5D9B" w:rsidTr="00FC6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Rumen weight,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47.42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126.70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175.67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iCs/>
                <w:sz w:val="24"/>
                <w:szCs w:val="24"/>
              </w:rPr>
              <w:t>&lt;0.001</w:t>
            </w:r>
          </w:p>
        </w:tc>
      </w:tr>
      <w:tr w:rsidR="00FC6837" w:rsidRPr="00BE5D9B" w:rsidTr="00FC6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Average daily gain/g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70.28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123.93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126.25</w:t>
            </w:r>
            <w:r w:rsidRPr="00BE5D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  <w:tr w:rsidR="00FC6837" w:rsidRPr="00BE5D9B" w:rsidTr="00FC6837"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7.09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5.88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6.01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>&lt;0.0001</w:t>
            </w:r>
          </w:p>
        </w:tc>
      </w:tr>
      <w:tr w:rsidR="00FC6837" w:rsidRPr="00BE5D9B" w:rsidTr="00FC6837"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Iso</w:t>
            </w:r>
            <w:bookmarkStart w:id="8" w:name="OLE_LINK20"/>
            <w:bookmarkStart w:id="9" w:name="OLE_LINK48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butyrate</w:t>
            </w:r>
            <w:bookmarkEnd w:id="8"/>
            <w:bookmarkEnd w:id="9"/>
            <w:proofErr w:type="spellEnd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mmol</w:t>
            </w:r>
            <w:proofErr w:type="spellEnd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>0.3589</w:t>
            </w:r>
          </w:p>
        </w:tc>
      </w:tr>
      <w:tr w:rsidR="00FC6837" w:rsidRPr="00BE5D9B" w:rsidTr="00FC6837"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Iso</w:t>
            </w:r>
            <w:bookmarkStart w:id="10" w:name="OLE_LINK49"/>
            <w:bookmarkStart w:id="11" w:name="OLE_LINK50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valerate</w:t>
            </w:r>
            <w:bookmarkStart w:id="12" w:name="OLE_LINK53"/>
            <w:bookmarkEnd w:id="10"/>
            <w:bookmarkEnd w:id="11"/>
            <w:proofErr w:type="spellEnd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mmol</w:t>
            </w:r>
            <w:proofErr w:type="spellEnd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/L</w:t>
            </w:r>
            <w:bookmarkEnd w:id="12"/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>0.5470</w:t>
            </w:r>
          </w:p>
        </w:tc>
      </w:tr>
      <w:tr w:rsidR="00FC6837" w:rsidRPr="00BE5D9B" w:rsidTr="00FC6837"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Valerate</w:t>
            </w:r>
            <w:proofErr w:type="spellEnd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mmol</w:t>
            </w:r>
            <w:proofErr w:type="spellEnd"/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0.73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7.34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5.01</w:t>
            </w:r>
            <w:r w:rsidRPr="00BE5D9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0" w:type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>0.0045</w:t>
            </w:r>
          </w:p>
        </w:tc>
      </w:tr>
      <w:tr w:rsidR="00FC6837" w:rsidRPr="00BE5D9B" w:rsidTr="00FC6837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A:P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C6837" w:rsidRPr="00BE5D9B" w:rsidRDefault="00FC6837" w:rsidP="00FC683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sz w:val="24"/>
                <w:szCs w:val="24"/>
              </w:rPr>
            </w:pPr>
            <w:r w:rsidRPr="00BE5D9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>0.5502</w:t>
            </w:r>
          </w:p>
        </w:tc>
      </w:tr>
    </w:tbl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bookmarkStart w:id="13" w:name="_Hlk11941241"/>
      <w:bookmarkStart w:id="14" w:name="OLE_LINK300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MRO=</w:t>
      </w:r>
      <w:bookmarkStart w:id="15" w:name="OLE_LINK81"/>
      <w:bookmarkStart w:id="16" w:name="OLE_LINK82"/>
      <w:bookmarkStart w:id="17" w:name="OLE_LINK83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milk replacer</w:t>
      </w:r>
      <w:bookmarkEnd w:id="15"/>
      <w:bookmarkEnd w:id="16"/>
      <w:bookmarkEnd w:id="17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, MRC= </w:t>
      </w:r>
      <w:bookmarkStart w:id="18" w:name="OLE_LINK86"/>
      <w:bookmarkStart w:id="19" w:name="OLE_LINK87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milk replacer +</w:t>
      </w:r>
      <w:bookmarkEnd w:id="18"/>
      <w:bookmarkEnd w:id="19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 concentrate, MCA=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milk replacer + concentrate + alfalfa; SEM = Standard error of the means. BW=body weight; A</w:t>
      </w:r>
      <w:proofErr w:type="gramStart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:P</w:t>
      </w:r>
      <w:proofErr w:type="gramEnd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= the ratio of acetate and propionate</w:t>
      </w:r>
    </w:p>
    <w:bookmarkEnd w:id="13"/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In the same row, values with different small letter superscripts mean significant difference </w:t>
      </w:r>
      <w:proofErr w:type="gramStart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(</w:t>
      </w:r>
      <w:r w:rsidRPr="00BE5D9B">
        <w:rPr>
          <w:rFonts w:ascii="Times New Roman" w:eastAsia="SimSun" w:hAnsi="Times New Roman" w:cs="Times New Roman"/>
          <w:i/>
          <w:kern w:val="0"/>
          <w:sz w:val="24"/>
          <w:szCs w:val="24"/>
        </w:rPr>
        <w:t xml:space="preserve"> P</w:t>
      </w:r>
      <w:proofErr w:type="gramEnd"/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＜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 xml:space="preserve">0.05) . </w:t>
      </w:r>
    </w:p>
    <w:bookmarkEnd w:id="14"/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br w:type="page"/>
      </w: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 xml:space="preserve">Table S4.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Pearson correlation between nutrient and rumen fermentation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57"/>
        <w:gridCol w:w="803"/>
        <w:gridCol w:w="1157"/>
        <w:gridCol w:w="803"/>
        <w:gridCol w:w="1157"/>
        <w:gridCol w:w="803"/>
        <w:gridCol w:w="1303"/>
        <w:gridCol w:w="905"/>
      </w:tblGrid>
      <w:tr w:rsidR="00FC6837" w:rsidRPr="00BE5D9B" w:rsidTr="00FC6837">
        <w:trPr>
          <w:trHeight w:val="295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Items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CP_ADI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NDF_ADI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NFC_ADI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Slaughter body weight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coefficient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coefficient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coefficient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coefficient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pvalue</w:t>
            </w:r>
            <w:proofErr w:type="spellEnd"/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pH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-0.83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-0.85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-0.86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-0.78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NH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  <w:vertAlign w:val="subscript"/>
              </w:rPr>
              <w:t>3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-0.76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MCP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acetate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propionate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0.002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butyrate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valerate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2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Total VFA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0.000</w:t>
            </w:r>
          </w:p>
        </w:tc>
      </w:tr>
    </w:tbl>
    <w:p w:rsidR="00FC6837" w:rsidRPr="00BE5D9B" w:rsidRDefault="00FC6837" w:rsidP="00FC6837">
      <w:pPr>
        <w:rPr>
          <w:rFonts w:ascii="Times New Roman" w:eastAsia="SimSun" w:hAnsi="Times New Roman" w:cs="Times New Roman"/>
          <w:sz w:val="24"/>
          <w:szCs w:val="24"/>
        </w:rPr>
      </w:pPr>
    </w:p>
    <w:p w:rsidR="00FC6837" w:rsidRPr="00BE5D9B" w:rsidRDefault="00FC6837" w:rsidP="00FC6837">
      <w:pPr>
        <w:rPr>
          <w:rFonts w:ascii="Times New Roman" w:eastAsia="SimSun" w:hAnsi="Times New Roman" w:cs="Times New Roman"/>
          <w:sz w:val="24"/>
          <w:szCs w:val="24"/>
        </w:rPr>
      </w:pPr>
      <w:r w:rsidRPr="00BE5D9B">
        <w:rPr>
          <w:rFonts w:ascii="Times New Roman" w:eastAsia="SimSun" w:hAnsi="Times New Roman" w:cs="Times New Roman"/>
          <w:sz w:val="24"/>
          <w:szCs w:val="24"/>
        </w:rPr>
        <w:t>CP</w:t>
      </w:r>
      <w:r w:rsidRPr="00BE5D9B">
        <w:rPr>
          <w:rFonts w:ascii="Times New Roman" w:hAnsi="Times New Roman" w:cs="Times New Roman"/>
          <w:sz w:val="24"/>
          <w:szCs w:val="24"/>
        </w:rPr>
        <w:t xml:space="preserve">_ADI: Crude protein </w:t>
      </w:r>
      <w:bookmarkStart w:id="20" w:name="OLE_LINK338"/>
      <w:bookmarkStart w:id="21" w:name="OLE_LINK340"/>
      <w:bookmarkStart w:id="22" w:name="OLE_LINK341"/>
      <w:bookmarkStart w:id="23" w:name="OLE_LINK342"/>
      <w:bookmarkStart w:id="24" w:name="OLE_LINK343"/>
      <w:r w:rsidRPr="00BE5D9B">
        <w:rPr>
          <w:rFonts w:ascii="Times New Roman" w:hAnsi="Times New Roman" w:cs="Times New Roman"/>
          <w:sz w:val="24"/>
          <w:szCs w:val="24"/>
        </w:rPr>
        <w:t>average daily intake</w:t>
      </w:r>
      <w:bookmarkEnd w:id="20"/>
      <w:bookmarkEnd w:id="21"/>
      <w:bookmarkEnd w:id="22"/>
      <w:bookmarkEnd w:id="23"/>
      <w:bookmarkEnd w:id="24"/>
      <w:r w:rsidRPr="00BE5D9B">
        <w:rPr>
          <w:rFonts w:ascii="Times New Roman" w:hAnsi="Times New Roman" w:cs="Times New Roman"/>
          <w:sz w:val="24"/>
          <w:szCs w:val="24"/>
        </w:rPr>
        <w:t>; NDF_ADI: Neutral detergent fibers average daily intake; NFC_ADI: Non-fibrous carbohydrates average daily intake; Total VFA: Total volatile fatty acids; MCP: Microbial crude protein.</w:t>
      </w:r>
    </w:p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The p value equaled </w:t>
      </w:r>
      <w:proofErr w:type="gramStart"/>
      <w:r w:rsidRPr="00BE5D9B">
        <w:rPr>
          <w:rFonts w:ascii="Times New Roman" w:hAnsi="Times New Roman" w:cs="Times New Roman"/>
          <w:kern w:val="0"/>
          <w:sz w:val="24"/>
          <w:szCs w:val="24"/>
        </w:rPr>
        <w:t>0</w:t>
      </w:r>
      <w:proofErr w:type="gramEnd"/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meant it smaller than 0.0005.</w:t>
      </w:r>
    </w:p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br w:type="page"/>
      </w: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 xml:space="preserve">Table S5.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Pearson correlation analysis between phenotypes and Alpha diversity in goat kids.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336"/>
        <w:gridCol w:w="856"/>
        <w:gridCol w:w="1336"/>
        <w:gridCol w:w="856"/>
        <w:gridCol w:w="1336"/>
        <w:gridCol w:w="856"/>
      </w:tblGrid>
      <w:tr w:rsidR="00FC6837" w:rsidRPr="00BE5D9B" w:rsidTr="00FC683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697233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Items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Shannon Index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Observed species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Chao1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coefficients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coefficients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coefficients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pvalue</w:t>
            </w:r>
            <w:proofErr w:type="spellEnd"/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0.880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-0.65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-0.66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0.003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NFC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0.642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0.001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NDF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0.594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DengXian" w:hAnsi="Times New Roman" w:cs="Times New Roman"/>
                <w:sz w:val="24"/>
                <w:szCs w:val="24"/>
              </w:rPr>
              <w:t>0.001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acetate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0.717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propionate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0.687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0.014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butyrate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0.557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Total VFA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0.484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valerate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pH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NH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3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0.562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MCP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</w:tr>
      <w:tr w:rsidR="00FC6837" w:rsidRPr="00BE5D9B" w:rsidTr="00FC6837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Slaughter body weight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0.534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-0.74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6837" w:rsidRPr="00BE5D9B" w:rsidRDefault="00FC6837" w:rsidP="00FC683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</w:t>
            </w:r>
          </w:p>
        </w:tc>
      </w:tr>
    </w:tbl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eastAsia="DengXian" w:hAnsi="Times New Roman" w:cs="Times New Roman"/>
          <w:sz w:val="24"/>
          <w:szCs w:val="24"/>
        </w:rPr>
      </w:pPr>
      <w:r w:rsidRPr="00BE5D9B">
        <w:rPr>
          <w:rFonts w:ascii="Times New Roman" w:eastAsia="DengXian" w:hAnsi="Times New Roman" w:cs="Times New Roman"/>
          <w:sz w:val="24"/>
          <w:szCs w:val="24"/>
        </w:rPr>
        <w:t>CP_ADI: Crude protein average daily intake; NDF_ADI: Neutral detergent fibers average daily intake; NFC_ADI: Non-fibrous carbohydrates average daily intake;</w:t>
      </w:r>
      <w:r w:rsidRPr="00BE5D9B">
        <w:rPr>
          <w:rFonts w:ascii="Times New Roman" w:hAnsi="Times New Roman" w:cs="Times New Roman"/>
          <w:sz w:val="24"/>
          <w:szCs w:val="24"/>
        </w:rPr>
        <w:t xml:space="preserve"> Total VFA: Total volatile fatty acids; MCP: Microbial crude protein.</w:t>
      </w:r>
    </w:p>
    <w:p w:rsidR="00FC6837" w:rsidRPr="00BE5D9B" w:rsidRDefault="00FC6837" w:rsidP="00FC6837">
      <w:pPr>
        <w:autoSpaceDE w:val="0"/>
        <w:autoSpaceDN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The p value equaled </w:t>
      </w:r>
      <w:proofErr w:type="gramStart"/>
      <w:r w:rsidRPr="00BE5D9B">
        <w:rPr>
          <w:rFonts w:ascii="Times New Roman" w:hAnsi="Times New Roman" w:cs="Times New Roman"/>
          <w:kern w:val="0"/>
          <w:sz w:val="24"/>
          <w:szCs w:val="24"/>
        </w:rPr>
        <w:t>0</w:t>
      </w:r>
      <w:proofErr w:type="gramEnd"/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meant it smaller than 0.0005.</w:t>
      </w: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837" w:rsidRPr="00BE5D9B" w:rsidRDefault="00FC6837" w:rsidP="00FC6837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S6 </w:t>
      </w:r>
      <w:r>
        <w:rPr>
          <w:rFonts w:ascii="Times New Roman" w:hAnsi="Times New Roman" w:cs="Times New Roman"/>
          <w:sz w:val="24"/>
          <w:szCs w:val="24"/>
        </w:rPr>
        <w:t xml:space="preserve">the average </w:t>
      </w:r>
      <w:r w:rsidRPr="00BE5D9B">
        <w:rPr>
          <w:rFonts w:ascii="Times New Roman" w:hAnsi="Times New Roman" w:cs="Times New Roman"/>
          <w:sz w:val="24"/>
          <w:szCs w:val="24"/>
        </w:rPr>
        <w:t xml:space="preserve">abundance </w:t>
      </w:r>
      <w:r>
        <w:rPr>
          <w:rFonts w:ascii="Times New Roman" w:hAnsi="Times New Roman" w:cs="Times New Roman"/>
          <w:sz w:val="24"/>
          <w:szCs w:val="24"/>
        </w:rPr>
        <w:t xml:space="preserve">of 281 </w:t>
      </w:r>
      <w:r w:rsidRPr="00BE5D9B">
        <w:rPr>
          <w:rFonts w:ascii="Times New Roman" w:hAnsi="Times New Roman" w:cs="Times New Roman"/>
          <w:sz w:val="24"/>
          <w:szCs w:val="24"/>
        </w:rPr>
        <w:t>significant OTUs</w:t>
      </w: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5036"/>
        <w:gridCol w:w="996"/>
        <w:gridCol w:w="996"/>
        <w:gridCol w:w="996"/>
        <w:gridCol w:w="960"/>
      </w:tblGrid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OTUID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MRO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MRC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MCA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pvalue-KWtest</w:t>
            </w:r>
            <w:proofErr w:type="spellEnd"/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OTU1_Sphingobacteriaceae_unclassified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0.19182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0.01601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0.09529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0.09803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0.0401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0.11709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OTU5_Sphingobacteriaceae_unclassified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0.11134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0.01349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0.05890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OTU9_Succinivibrio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0.01498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0.04738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0.0395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OTU10_Roseburia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0.04486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0.00896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0.0264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0.00414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0.04023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OTU15_Prevotellaceae_unclassified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0.00291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0.03540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OTU18_Prevotella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0.01016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0.01923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0.0168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OTU20_Olsenella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0.02279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0.00472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0.0192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0.02081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0.00291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0.0392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OTU22_Succiniclasticum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0.00491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0.01817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OTU24_Cloacibacillus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0.02164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0.00756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0.01181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0.0307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OTU30_Prevotellaceae_unclassified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0.01838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0.0287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OTU33_Bacteroidetes_unclassified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0.01775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OTU34_Ruminococcus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0.01489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OTU36_Candidatus.Endomicrobium_unclassified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0.01322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0.00298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OTU38_Prevotellaceae_unclassified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0.00982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0.00576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0.0281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OTU39_Ruminococcaceae_unclassified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0.01473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0.00663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0.00808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OTU43_Bacteroidetes_unclassified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0.01254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OTU44_Prevotellaceae_unclassified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0.01248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0.0249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OTU47_Porphyromonadaceae_unclassified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0.00952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0.0395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OTU52_Bacteria_unclassified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0.01040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OTU53_Lachnospiraceae_unclassified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0.01090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0.0486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OTU54_Prevotella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0.01110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OTU55_Sphaerochaeta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0.01053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OTU57_Prevotella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0.00774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OTU58_Bacteroidetes_unclassified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OTU60_Prevotella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0.00828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OTU62_Prevotellaceae_unclassified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0.00955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OTU63_Prevotella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0.00682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0.00276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0.0366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OTU67_Treponema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0.00906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OTU71_Lachnospiraceae_unclassified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0.00833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0.0287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OTU74_Treponema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0.00818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OTU75_Ruminococcaceae_unclassified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0.00818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OTU77_Bacteroidetes_unclassified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OTU79_Neisseriaceae_unclassified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0.00744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OTU83_Bacteroidales_unclassified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0.00727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OTU86_Pyramidobacter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0.00354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0.00330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OTU87_Butyrivibrio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0.00657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OTU89_Bacteroidetes_unclassified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0.00668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0.00664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OTU93_Treponema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0.00646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OTU94_Clostridiales_unclassified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0.00646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OTU97_Clostridiales_unclassified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0.0422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OTU98_Anaeroplasma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0.00597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OTU99_Elusimicrobium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0.00596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OTU100_Prevotellaceae_unclassified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0.00568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0.0161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OTU103_Prevotellaceae_unclassified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0.00479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0.0448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OTU104_Prevotella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0.00524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0.0268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OTU106_Bacteroidetes_unclassified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0.00546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OTU110_Prevotellaceae_unclassified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0.00436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OTU111_Methanomassiliicoccus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0.00499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OTU114_Megasphaera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0.00287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0.00204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OTU115_Fibrobacter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0.00231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0.00257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OTU119_Prevotella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0.00437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OTU121_Bacteroidales_unclassified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0.00325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0.0321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OTU124_Bacteroidetes_unclassified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0.00426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OTU126_Anaeroplasma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0.00420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0.0159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OTU127_Acidaminococcus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0.00244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0.0500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OTU128_Bacteroidetes_unclassified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0.00421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OTU130_Clostridiales_unclassified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0.00420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OTU131_Bacteroidetes_unclassified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OTU132_Pyramidobacter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OTU134_Prevotella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OTU137_Escherichia.Shigella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0.00195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0.0362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OTU138_Prevotella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0.00382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OTU139_Bacteroidetes_unclassified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0.00385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OTU140_Anaerovibrio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0.00214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0.0429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OTU141_Prevotella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0.00369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OTU142_Bacteroidales_unclassified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0.00321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0.0373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OTU144_Saccharofermentans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0.00331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0.0408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OTU145_Ruminococcaceae_unclassified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0.00352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OTU147_Bacteroidales_unclassified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0.00333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OTU148_Lachnospiraceae_unclassified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0.00251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OTU151_Ruminococcaceae_unclassified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0.00309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OTU152_Mitsuokella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0.00211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OTU153_Firmicutes_unclassified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OTU154_Methanomassiliicoccus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OTU158_Clostridiales_unclassified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0.00285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OTU159_Lachnospiraceae_unclassified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0.00290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OTU165_Prevotellaceae_unclassified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OTU167_Veillonellaceae_unclassified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OTU168_Methanomicrobium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0.00250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OTU169_Bacteroidetes_unclassified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0.00261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OTU173_Megasphaera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0.0447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OTU174_Bacteroidetes_unclassified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0.00243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0.0227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OTU175_Prevotella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0.00195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0.0206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OTU176_Prevotellaceae_unclassified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0.00209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OTU177_Campylobacter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0.00134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0.0391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OTU178_Bacteroides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0.00240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OTU182_Bacteroidetes_unclassified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0.00211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0.0161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OTU183_Bacteroidetes_unclassified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OTU186_Prevotella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OTU190_Sphaerochaeta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0.00198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OTU191_Lachnospiraceae_unclassified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0.00146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0.0162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OTU192_Methanimicrococcus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0.00220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OTU193_Bacteroidetes_unclassified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OTU205_Firmicutes_unclassified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OTU206_Lachnospiraceae_unclassified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0.00131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OTU208_Bacteria_unclassified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OTU209_Parabacteroides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OTU210_Desulfovibrio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OTU213_Clostridiales_unclassified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OTU216_Ruminococcaceae_unclassified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0.00136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OTU217_Bacteroidetes_unclassified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OTU218_Treponema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OTU219_Bacteroidetes_unclassified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OTU220_Prevotella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0.0227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OTU221_Pseudobutyrivibrio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0.00142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OTU222_Firmicutes_unclassified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OTU223_Ruminococcaceae_unclassified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OTU224_Prevotella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0.0473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OTU226_Prevotella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0.00138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0.0488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OTU228_Subdivision3_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bacteria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_incertae_sedis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0.00151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OTU230_Bacteroidetes_unclassified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0.0448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OTU232_Lachnospiraceae_unclassified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0.00147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OTU239_Bacteroidales_unclassified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0.0295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OTU245_Clostridiales_unclassified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OTU246_Bacteroidetes_unclassified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0.0339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OTU248_Desulfovibrionaceae_unclassified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OTU249_Bacteroides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OTU252_Treponema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0.0396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OTU255_Comamonas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0.00114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OTU258_Olsenella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OTU262_Firmicutes_unclassified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OTU263_Lachnospiraceae_unclassified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OTU265_Clostridiales_unclassified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OTU266_Porphyromonadaceae_unclassified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OTU268_Mitsuokella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0.0377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OTU269_Ruminococcus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OTU270_Bibersteinia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0.0326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OTU273_Prevotella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0.0463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OTU275_Saccharofermentans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OTU277_Lachnospiracea_incertae_sedis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OTU278_Paraprevotella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0.0276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OTU279_Clostridiales_unclassified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OTU281_Bacteroidetes_unclassified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OTU282_Lachnospiraceae_unclassified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0.0250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OTU287_Pasteurellaceae_unclassified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OTU290_Bacteroidetes_unclassified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OTU296_Clostridiales_unclassified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OTU298_Pyramidobacter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0.00071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OTU306_Megasphaera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0.0246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OTU310_Treponema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OTU311_Clostridiales_unclassified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OTU313_Methanomassiliicoccus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OTU314_Blautia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0.0179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OTU320_Alloprevotella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0.00061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OTU322_Allisonella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0.0248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OTU325_Bacteroides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0.0177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OTU326_Ruminococcaceae_unclassified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OTU327_Clostridium.XlVa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OTU328_Ethanoligenens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OTU329_Methanomassiliicoccus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OTU330_Firmicutes_unclassified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OTU333_Ruminococcaceae_unclassified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0.0138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OTU337_Bacteroidetes_unclassified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0.0249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OTU338_Prevotella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0.0476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OTU340_Intestinimonas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0.0221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OTU342_Lachnospiracea_incertae_sedis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0.0137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OTU343_Prevotellaceae_unclassified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0.00050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OTU344_Firmicutes_unclassified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OTU346_Bacteroidetes_unclassified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OTU348_Mannheimia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OTU349_Bacteroidetes_unclassified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OTU352_Bacteroidetes_unclassified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0.0090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OTU353_Bacteroidetes_unclassified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0.00044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OTU360_Bacteroidetes_unclassified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0.0377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OTU363_Firmicutes_unclassified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OTU364_Ruminococcaceae_unclassified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OTU365_Neisseriaceae_unclassified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OTU366_Bacteroidetes_unclassified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OTU370_Clostridiales_unclassified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OTU371_Sphaerochaeta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OTU372_Bacteria_unclassified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OTU373_Clostridiales_unclassified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0.0181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OTU382_Prevotellaceae_unclassified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OTU383_Bacteria_unclassified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OTU385_Moraxella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OTU387_Bacteroidetes_unclassified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OTU389_Bacteroidetes_unclassified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OTU391_Lachnospiraceae_unclassified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0.0233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OTU392_Bilophila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OTU393_Sphaerochaeta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OTU396_Proteobacteria_unclassified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0.0061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OTU402_Firmicutes_unclassified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OTU403_Treponema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0.0023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OTU406_Proteobacteria_unclassified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OTU411_Clostridia_unclassified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OTU412_Treponema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OTU413_Clostridium.XlVb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OTU415_Dorea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OTU416_Bacteroidetes_unclassified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OTU418_Bacteroidetes_unclassified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OTU421_Sphaerochaeta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OTU422_Porphyromonadaceae_unclassified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OTU430_Clostridiales_unclassified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OTU443_Subdivision5_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bacteria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_incertae_sedis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OTU447_Firmicutes_unclassified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OTU449_Alysiella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OTU454_Bacteroidetes_unclassified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OTU459_Ruminococcaceae_unclassified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OTU462_Ruminococcaceae_unclassified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0.00009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0.0236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OTU464_Burkholderiales_unclassified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OTU472_Ruminococcaceae_unclassified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0.00020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OTU477_Ruminococcaceae_unclassified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OTU479_Subdivision5_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bacteria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_incertae_sedis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OTU480_Alloprevotella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OTU481_Bacteroidetes_unclassified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OTU484_Kingella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OTU487_Firmicutes_unclassified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OTU489_Bacteria_unclassified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OTU499_Ruminococcaceae_unclassified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OTU500_Butyricimonas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0.0266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OTU501_Bacteria_unclassified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OTU502_Moraxella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OTU505_Butyrivibrio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OTU506_Bacteria_unclassified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OTU509_Bacteroidales_unclassified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OTU517_Treponema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OTU518_Bacteroidales_unclassified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0.0039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OTU522_Ruminococcaceae_unclassified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OTU529_Bacteria_unclassified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OTU531_Ruminococcaceae_unclassified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0.0489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OTU532_Bacteroidetes_unclassified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OTU533_Ruminococcaceae_unclassified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OTU537_Sphaerochaeta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OTU539_Clostridiales_unclassified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OTU540_Bacteroidetes_unclassified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OTU541_Parabacteroides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OTU545_Clostridiales_unclassified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OTU546_Oligosphaera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0.0343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OTU549_Alistipes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OTU553_Bacteria_unclassified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OTU554_Bacteroidales_unclassified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0.0371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OTU556_Clostridiales_unclassified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0.0249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OTU559_Ruminococcaceae_unclassified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OTU563_Oxalobacteraceae_unclassified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OTU566_Porphyromonadaceae_unclassified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0.0046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OTU569_Clostridiales_unclassified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0.0010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OTU576_Chryseobacterium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0.0241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OTU577_Bacteroidetes_unclassified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0.00010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OTU579_Ruminococcaceae_unclassified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0.00009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OTU597_Clostridiales_unclassified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OTU598_Streptococcus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OTU601_Ruminococcaceae_unclassified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OTU603_Lachnospiraceae_unclassified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0.0101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OTU617_Bacteroidetes_unclassified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0.00008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0.0017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OTU619_Pasteurellaceae_unclassified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0.0279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OTU624_Ruminococcaceae_unclassified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OTU625_Bacteria_unclassified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OTU626_Spirochaetales_unclassified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OTU629_Neisseriaceae_unclassified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OTU630_Subdivision5_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bacteria</w:t>
            </w: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_incertae_sedis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OTU637_Porphyromonas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0.0055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OTU639_Lachnospiraceae_unclassified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0.00007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OTU658_Bacteria_unclassified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OTU659_Meganema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0.0491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OTU663_Neisseriaceae_unclassified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0.00006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OTU678_Lachnospiraceae_unclassified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0.00001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0.0281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OTU688_Moraxella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OTU691_Bacteria_unclassified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0.00005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0.0345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OTU705_Pasteurellaceae_unclassified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0.0334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OTU709_Cardiobacteriaceae_unclassified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0.0084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OTU720_Bacteroidetes_unclassified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0.00004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OTU729_Fibrobacter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OTU732_Synergistes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OTU767_Victivallis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OTU768_Clostridiales_unclassified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OTU770_Streptococcus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OTU771_Peptostreptococcus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0.0342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OTU779_Coriobacteriaceae_unclassified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OTU782_Brevundimonas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OTU783_Porphyromonas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0.00003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0.0078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OTU807_Corynebacterium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0.0334</w:t>
            </w:r>
          </w:p>
        </w:tc>
      </w:tr>
      <w:tr w:rsidR="00FC6837" w:rsidRPr="00BE5D9B" w:rsidTr="00697233">
        <w:trPr>
          <w:trHeight w:val="300"/>
        </w:trPr>
        <w:tc>
          <w:tcPr>
            <w:tcW w:w="5036" w:type="dxa"/>
            <w:noWrap/>
            <w:hideMark/>
          </w:tcPr>
          <w:p w:rsidR="00FC6837" w:rsidRPr="00BE5D9B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OTU813_Lachnospiraceae_unclassified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0.00002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96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960" w:type="dxa"/>
            <w:noWrap/>
            <w:hideMark/>
          </w:tcPr>
          <w:p w:rsidR="00FC6837" w:rsidRPr="00BE5D9B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E5D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0.0334</w:t>
            </w:r>
          </w:p>
        </w:tc>
      </w:tr>
    </w:tbl>
    <w:p w:rsidR="00FC6837" w:rsidRPr="00BE5D9B" w:rsidRDefault="00FC6837" w:rsidP="00FC6837">
      <w:pPr>
        <w:rPr>
          <w:rFonts w:ascii="Times New Roman" w:hAnsi="Times New Roman" w:cs="Times New Roman"/>
          <w:sz w:val="24"/>
          <w:szCs w:val="24"/>
        </w:rPr>
      </w:pP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837" w:rsidRDefault="00FC6837" w:rsidP="00FC6837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S7 </w:t>
      </w:r>
      <w:r w:rsidRPr="00BE5D9B">
        <w:rPr>
          <w:rFonts w:ascii="Times New Roman" w:hAnsi="Times New Roman" w:cs="Times New Roman"/>
          <w:sz w:val="24"/>
          <w:szCs w:val="24"/>
        </w:rPr>
        <w:t>the top 50 features selected of</w:t>
      </w:r>
      <w:r w:rsidRPr="00BE5D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classification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BE5D9B">
        <w:rPr>
          <w:rFonts w:ascii="Times New Roman" w:hAnsi="Times New Roman" w:cs="Times New Roman"/>
          <w:sz w:val="24"/>
          <w:szCs w:val="24"/>
        </w:rPr>
        <w:t xml:space="preserve"> based on MDA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098"/>
        <w:gridCol w:w="2098"/>
        <w:gridCol w:w="2098"/>
        <w:gridCol w:w="1953"/>
      </w:tblGrid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order based on MDA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MRO-MRC-MCA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MRO-MRC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MRO-MCA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MRC-MCA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OTU93_Treponema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OTU365_Neisseriaceae_unclassified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OTU216_Ruminococcaceae_unclassified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OTU74_Treponema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OTU87_Butyrivibrio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OTU296_Clostridiales_unclassified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OTU464_Burkholderiales_unclassified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OTU104_Prevotella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OTU539_Clostridiales_unclassified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OTU5_Sphingobacteriaceae_unclassified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OTU60_Prevotella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OTU396_Proteobacteria_unclassified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OTU330_Firmicutes_unclassified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OTU148_Lachnospiraceae_unclassified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OTU22_Succiniclasticum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OTU539_Clostridiales_unclassified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OTU313_Methanomassiliicoccus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OTU290_Bacteroidetes_unclassified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OTU422_Porphyromonadaceae_unclassified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OTU87_Butyrivibrio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OTU83_Bacteroidales_unclassified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OTU18_Prevotella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OTU83_Bacteroidales_unclassified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OTU111_Methanomassiliicoccus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OTU94_Clostridiales_unclassified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OTU42_Prevotella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OTU396_Proteobacteria_unclassified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OTU411_Clostridia_unclassified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OTU178_Bacteroides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OTU93_Treponema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OTU75_Ruminococcaceae_unclassified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OTU569_Clostridiales_unclassified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OTU147_Bacteroidales_unclassified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OTU221_Pseudobutyrivibrio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OTU24_Cloacibacillus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OTU119_Prevotella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OTU290_Bacteroidetes_unclassified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OTU110_Prevotellaceae_unclassified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OTU154_Methanomassiliicoccus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OTU487_Firmicutes_unclassified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OTU349_Bacteroidetes_unclassified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OTU599_Spartobacteria_unclassified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OTU387_Bacteroidetes_unclassified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OTU447_Firmicutes_unclassified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OTU539_Clostridiales_unclassified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OTU100_Prevotellaceae_unclassified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OTU217_Bacteroidetes_unclassified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OTU281_Bacteroidetes_unclassified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OTU55_Sphaerochaeta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OTU163_Prevotellaceae_unclassified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OTU104_Prevotella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OTU422_Porphyromonadaceae_unclassified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OTU154_Methanomassiliicoccus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OTU54_Prevotella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OTU422_Porphyromonadaceae_unclassified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OTU154_Methanomassiliicoccus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OTU330_Firmicutes_unclassified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OTU432_Lachnospiraceae_unclassified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OTU74_Treponema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OTU217_Bacteroidetes_unclassified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OTU208_Bacteria_unclassified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OTU88_Treponema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OTU178_Bacteroides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OTU79_Neisseriaceae_unclassified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OTU313_Methanomassiliicoccus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OTU67_Treponema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OTU5_Sphingobacteriaceae_unclassified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OTU24_Cloacibacillus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OTU643_Neisseria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OTU290_Bacteroidetes_unclassified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OTU208_Bacteria_unclassified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OTU411_Clostridia_unclassified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OTU177_Campylobacter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OTU55_Sphaerochaeta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OTU114_Megasphaera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OTU24_Cloacibacillus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OTU145_Ruminococcaceae_unclassified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OTU506_Bacteria_unclassified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OTU413_Clostridium.XlVb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OTU205_Firmicutes_unclassified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lastRenderedPageBreak/>
              <w:t>22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OTU90_Bacteroidetes_unclassified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OTU330_Firmicutes_unclassified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OTU296_Clostridiales_unclassified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OTU273_Prevotella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OTU94_Clostridiales_unclassified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OTU75_Ruminococcaceae_unclassified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OTU403_Treponema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OTU15_Prevotellaceae_unclassified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OTU365_Neisseriaceae_unclassified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OTU94_Clostridiales_unclassified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OTU266_Porphyromonadaceae_unclassified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OTU314_Blautia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OTU411_Clostridia_unclassified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OTU313_Methanomassiliicoccus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OTU298_Pyramidobacter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OTU48_Treponema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OTU296_Clostridiales_unclassified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OTU387_Bacteroidetes_unclassified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OTU5_Sphingobacteriaceae_unclassified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OTU591_Atopobium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OTU487_Firmicutes_unclassified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OTU147_Bacteroidales_unclassified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OTU281_Bacteroidetes_unclassified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OTU415_Dorea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OTU147_Bacteroidales_unclassified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OTU178_Bacteroides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OTU1_Sphingobacteriaceae_unclassified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OTU123_Prevotella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OTU99_Elusimicrobium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OTU139_Bacteroidetes_unclassified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OTU151_Ruminococcaceae_unclassified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OTU52_Bacteria_unclassified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OTU392_Bilophila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OTU477_Ruminococcaceae_unclassified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OTU111_Methanomassiliicoccus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OTU171_Olsenella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OTU506_Bacteria_unclassified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OTU93_Treponema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OTU119_Prevotella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OTU143_Fibrobacter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OTU169_Bacteroidetes_unclassified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OTU363_Firmicutes_unclassified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OTU217_Bacteroidetes_unclassified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OTU119_Prevotella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OTU34_Ruminococcus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OTU611_Bacteria_unclassified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OTU279_Clostridiales_unclassified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OTU169_Bacteroidetes_unclassified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OTU365_Neisseriaceae_unclassified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OTU115_Fibrobacter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OTU139_Bacteroidetes_unclassified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OTU62_Prevotellaceae_unclassified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OTU387_Bacteroidetes_unclassified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OTU165_Prevotellaceae_unclassified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OTU221_Pseudobutyrivibrio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OTU279_Clostridiales_unclassified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OTU83_Bacteroidales_unclassified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OTU29_Prevotella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OTU208_Bacteria_unclassified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OTU266_Porphyromonadaceae_unclassified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OTU392_Bilophila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OTU96_Alloprevotella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OTU266_Porphyromonadaceae_unclassified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OTU33_Bacteroidetes_unclassified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OTU86_Pyramidobacter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OTU33_Bacteroidetes_unclassified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OTU392_Bilophila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OTU219_Bacteroidetes_unclassified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OTU91_Prevotellaceae_unclassified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OTU245_Clostridiales_unclassified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OTU89_Bacteroidetes_unclassified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OTU33_Bacteroidetes_unclassified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OTU140_Anaerovibrio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OTU110_Prevotellaceae_unclassified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OTU86_Pyramidobacter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OTU75_Ruminococcaceae_unclassified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OTU768_Clostridiales_unclassified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OTU111_Methanomassiliicoccus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OTU99_Elusimicrobium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OTU192_Methanimicrococcus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OTU698_Parasutterella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OTU281_Bacteroidetes_unclassified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OTU245_Clostridiales_unclassified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OTU190_Sphaerochaeta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OTU313_Methanomassiliicoccus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OTU192_Methanimicrococcus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OTU55_Sphaerochaeta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OTU421_Sphaerochaeta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OTU626_Spirochaetales_unclassified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lastRenderedPageBreak/>
              <w:t>45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OTU42_Prevotella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OTU90_Bacteroidetes_unclassified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OTU13_Prevotella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OTU78_Bacteroidales_unclassified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OTU79_Neisseriaceae_unclassified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OTU192_Methanimicrococcus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OTU115_Fibrobacter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OTU524_Lachnospiraceae_unclassified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OTU477_Ruminococcaceae_unclassified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OTU138_Prevotella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OTU168_Methanomicrobium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OTU464_Burkholderiales_unclassified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OTU168_Methanomicrobium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OTU487_Firmicutes_unclassified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OTU66_Treponema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OTU60_Prevotella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OTU60_Prevotella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OTU506_Bacteria_unclassified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OTU596_Ruminococcaceae_unclassified</w:t>
            </w:r>
          </w:p>
        </w:tc>
      </w:tr>
      <w:tr w:rsidR="00FC6837" w:rsidRPr="00BE5D9B" w:rsidTr="00697233">
        <w:trPr>
          <w:trHeight w:val="300"/>
        </w:trPr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OTU158_Clostridiales_unclassified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OTU186_Prevotella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OTU40_Bacteroidetes_unclassified</w:t>
            </w:r>
          </w:p>
        </w:tc>
        <w:tc>
          <w:tcPr>
            <w:tcW w:w="0" w:type="auto"/>
            <w:noWrap/>
            <w:hideMark/>
          </w:tcPr>
          <w:p w:rsidR="00FC6837" w:rsidRPr="003E5B46" w:rsidRDefault="00FC6837" w:rsidP="00FC683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</w:pPr>
            <w:r w:rsidRPr="003E5B4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4"/>
              </w:rPr>
              <w:t>OTU382_Prevotellaceae_unclassified</w:t>
            </w:r>
          </w:p>
        </w:tc>
      </w:tr>
    </w:tbl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 xml:space="preserve">Table S8. </w:t>
      </w:r>
      <w:r w:rsidRPr="003E5B46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BE5D9B">
        <w:rPr>
          <w:rFonts w:ascii="Times New Roman" w:hAnsi="Times New Roman" w:cs="Times New Roman"/>
          <w:sz w:val="24"/>
          <w:szCs w:val="24"/>
        </w:rPr>
        <w:t>prediction accuracy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regression model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535"/>
      </w:tblGrid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Prediction accuracy (%)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73.01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NDF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73.79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75.81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acetate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61.40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propionate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40.95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 xml:space="preserve">butyrate 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57.03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valerate</w:t>
            </w:r>
            <w:proofErr w:type="spellEnd"/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73.05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otal </w:t>
            </w: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VFA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70.06</w:t>
            </w:r>
          </w:p>
        </w:tc>
      </w:tr>
      <w:tr w:rsidR="00FC6837" w:rsidRPr="00BE5D9B" w:rsidTr="00F45F33">
        <w:trPr>
          <w:trHeight w:val="300"/>
        </w:trPr>
        <w:tc>
          <w:tcPr>
            <w:tcW w:w="0" w:type="auto"/>
            <w:noWrap/>
            <w:hideMark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Slaughter weight</w:t>
            </w:r>
          </w:p>
        </w:tc>
        <w:tc>
          <w:tcPr>
            <w:tcW w:w="0" w:type="auto"/>
            <w:noWrap/>
          </w:tcPr>
          <w:p w:rsidR="00FC6837" w:rsidRPr="00BE5D9B" w:rsidRDefault="00FC6837" w:rsidP="00FC6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D9B">
              <w:rPr>
                <w:rFonts w:ascii="Times New Roman" w:hAnsi="Times New Roman" w:cs="Times New Roman"/>
                <w:sz w:val="24"/>
                <w:szCs w:val="24"/>
              </w:rPr>
              <w:t>69.50</w:t>
            </w:r>
          </w:p>
        </w:tc>
      </w:tr>
    </w:tbl>
    <w:p w:rsidR="00FC6837" w:rsidRPr="00BE5D9B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Pr="00BE5D9B" w:rsidRDefault="00FC6837" w:rsidP="00FC6837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sz w:val="24"/>
          <w:szCs w:val="24"/>
        </w:rPr>
        <w:t xml:space="preserve">Random forest regression model 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>were used</w:t>
      </w:r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to select the rumen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that were important for intake of major nutrient (CP, NDF and NFC). The model 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>was run</w:t>
      </w:r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in R software using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pachkage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(v 4.6-14) with 10000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ntrees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. The percent variance explained 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>was reported</w:t>
      </w:r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for the estimation of accuracy of regression model.</w:t>
      </w:r>
    </w:p>
    <w:p w:rsidR="00FC6837" w:rsidRPr="00BE5D9B" w:rsidRDefault="00FC6837" w:rsidP="00FC6837">
      <w:pPr>
        <w:autoSpaceDE w:val="0"/>
        <w:autoSpaceDN w:val="0"/>
        <w:spacing w:line="276" w:lineRule="auto"/>
        <w:rPr>
          <w:rFonts w:ascii="Times New Roman" w:eastAsia="DengXian" w:hAnsi="Times New Roman" w:cs="Times New Roman"/>
          <w:sz w:val="24"/>
          <w:szCs w:val="24"/>
        </w:rPr>
      </w:pPr>
      <w:r w:rsidRPr="00BE5D9B">
        <w:rPr>
          <w:rFonts w:ascii="Times New Roman" w:eastAsia="DengXian" w:hAnsi="Times New Roman" w:cs="Times New Roman"/>
          <w:sz w:val="24"/>
          <w:szCs w:val="24"/>
        </w:rPr>
        <w:t>CP: Crude protein average daily intake; NDF: Neutral detergent fibers average daily intake; NFC: Non-fibrous carbohydrates average daily intake, T</w:t>
      </w:r>
      <w:r>
        <w:rPr>
          <w:rFonts w:ascii="Times New Roman" w:eastAsia="DengXian" w:hAnsi="Times New Roman" w:cs="Times New Roman"/>
          <w:sz w:val="24"/>
          <w:szCs w:val="24"/>
        </w:rPr>
        <w:t xml:space="preserve">otal </w:t>
      </w:r>
      <w:r w:rsidRPr="00BE5D9B">
        <w:rPr>
          <w:rFonts w:ascii="Times New Roman" w:eastAsia="DengXian" w:hAnsi="Times New Roman" w:cs="Times New Roman"/>
          <w:sz w:val="24"/>
          <w:szCs w:val="24"/>
        </w:rPr>
        <w:t>VFA: Total volatile fatty acids.</w:t>
      </w:r>
    </w:p>
    <w:p w:rsidR="005F5977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837" w:rsidRDefault="00DD4582" w:rsidP="00FC6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figure legends</w:t>
      </w:r>
    </w:p>
    <w:p w:rsidR="00DD4582" w:rsidRDefault="00DD4582" w:rsidP="00DD4582">
      <w:pPr>
        <w:rPr>
          <w:rFonts w:ascii="Times New Roman" w:hAnsi="Times New Roman" w:cs="Times New Roman"/>
          <w:b/>
          <w:sz w:val="24"/>
          <w:szCs w:val="24"/>
        </w:rPr>
      </w:pP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t>Figure S1</w:t>
      </w:r>
      <w:r w:rsidRPr="00BE5D9B">
        <w:rPr>
          <w:rFonts w:ascii="Times New Roman" w:hAnsi="Times New Roman" w:cs="Times New Roman"/>
          <w:sz w:val="24"/>
          <w:szCs w:val="24"/>
        </w:rPr>
        <w:t xml:space="preserve"> The rumen microbiome across three groups</w:t>
      </w:r>
      <w:bookmarkStart w:id="25" w:name="OLE_LINK63"/>
      <w:r w:rsidRPr="00BE5D9B">
        <w:rPr>
          <w:rFonts w:ascii="Times New Roman" w:hAnsi="Times New Roman" w:cs="Times New Roman"/>
          <w:sz w:val="24"/>
          <w:szCs w:val="24"/>
        </w:rPr>
        <w:t xml:space="preserve"> at </w:t>
      </w:r>
      <w:bookmarkEnd w:id="25"/>
      <w:r w:rsidRPr="00BE5D9B">
        <w:rPr>
          <w:rFonts w:ascii="Times New Roman" w:hAnsi="Times New Roman" w:cs="Times New Roman"/>
          <w:sz w:val="24"/>
          <w:szCs w:val="24"/>
        </w:rPr>
        <w:t xml:space="preserve">genus level </w:t>
      </w:r>
    </w:p>
    <w:p w:rsidR="00DD4582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sz w:val="24"/>
          <w:szCs w:val="24"/>
        </w:rPr>
        <w:t>Each bar shows the relative abundance of individual (A) or average (B) samples collected at MRO, MRC and MCA.</w:t>
      </w: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t>Figure S2</w:t>
      </w:r>
      <w:r w:rsidRPr="00BE5D9B">
        <w:rPr>
          <w:rFonts w:ascii="Times New Roman" w:hAnsi="Times New Roman" w:cs="Times New Roman"/>
          <w:sz w:val="24"/>
          <w:szCs w:val="24"/>
        </w:rPr>
        <w:t xml:space="preserve"> AUC curve of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classification model for differentiating MRO, MRC and MCA based on mean decrease accuracy: A: 3 groups; B: MRO vs MRC; C: MRO vs MCA; D: MRC vs MCA.</w:t>
      </w: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sz w:val="24"/>
          <w:szCs w:val="24"/>
        </w:rPr>
        <w:t>The ‘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Kopt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>’ shows the number of optimal variables fitted the AUCRF model. The values in parentheses are (specificity, sensitivity).</w:t>
      </w:r>
    </w:p>
    <w:p w:rsidR="00DD4582" w:rsidRDefault="00DD4582" w:rsidP="00FC6837">
      <w:pPr>
        <w:rPr>
          <w:rFonts w:ascii="Times New Roman" w:hAnsi="Times New Roman" w:cs="Times New Roman"/>
          <w:sz w:val="24"/>
          <w:szCs w:val="24"/>
        </w:rPr>
      </w:pPr>
    </w:p>
    <w:p w:rsidR="00DD4582" w:rsidRPr="00BE5D9B" w:rsidRDefault="00DD4582" w:rsidP="00DD4582">
      <w:pPr>
        <w:autoSpaceDE w:val="0"/>
        <w:autoSpaceDN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b/>
          <w:kern w:val="0"/>
          <w:sz w:val="24"/>
          <w:szCs w:val="24"/>
        </w:rPr>
        <w:t>Figure S3</w:t>
      </w:r>
      <w:r w:rsidR="00B1734D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bookmarkStart w:id="26" w:name="_GoBack"/>
      <w:bookmarkEnd w:id="26"/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top </w:t>
      </w:r>
      <w:r w:rsidR="00B1734D">
        <w:rPr>
          <w:rFonts w:ascii="Times New Roman" w:hAnsi="Times New Roman" w:cs="Times New Roman"/>
          <w:kern w:val="0"/>
          <w:sz w:val="24"/>
          <w:szCs w:val="24"/>
        </w:rPr>
        <w:t>50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features boxplots identified by AUCRF that differentiate MRO, MRC and MCA.</w:t>
      </w:r>
    </w:p>
    <w:p w:rsidR="00DD4582" w:rsidRPr="00BE5D9B" w:rsidRDefault="00DD4582" w:rsidP="00DD4582">
      <w:pPr>
        <w:autoSpaceDE w:val="0"/>
        <w:autoSpaceDN w:val="0"/>
        <w:spacing w:line="276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E5D9B">
        <w:rPr>
          <w:rFonts w:ascii="Times New Roman" w:hAnsi="Times New Roman" w:cs="Times New Roman"/>
          <w:sz w:val="24"/>
          <w:szCs w:val="24"/>
        </w:rPr>
        <w:t xml:space="preserve">The p values 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>were calculated</w:t>
      </w:r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–Wallis test. 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MRO=milk replacer, MRC= milk replacer + concentrate, MCA=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E5D9B">
        <w:rPr>
          <w:rFonts w:ascii="Times New Roman" w:eastAsia="SimSun" w:hAnsi="Times New Roman" w:cs="Times New Roman"/>
          <w:kern w:val="0"/>
          <w:sz w:val="24"/>
          <w:szCs w:val="24"/>
        </w:rPr>
        <w:t>milk replacer + concentrate + alfalfa.</w:t>
      </w:r>
    </w:p>
    <w:p w:rsidR="00DD4582" w:rsidRDefault="00DD4582" w:rsidP="00FC6837">
      <w:pPr>
        <w:rPr>
          <w:rFonts w:ascii="Times New Roman" w:hAnsi="Times New Roman" w:cs="Times New Roman"/>
          <w:sz w:val="24"/>
          <w:szCs w:val="24"/>
        </w:rPr>
      </w:pP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t>Figure S4</w:t>
      </w:r>
      <w:r w:rsidRPr="00BE5D9B">
        <w:rPr>
          <w:rFonts w:ascii="Times New Roman" w:hAnsi="Times New Roman" w:cs="Times New Roman"/>
          <w:sz w:val="24"/>
          <w:szCs w:val="24"/>
        </w:rPr>
        <w:t xml:space="preserve"> top 25 predictors of pairwise AUCRF for differentiating MRO-MRC</w:t>
      </w:r>
    </w:p>
    <w:p w:rsidR="00DD4582" w:rsidRDefault="00DD4582" w:rsidP="00FC6837">
      <w:pPr>
        <w:rPr>
          <w:rFonts w:ascii="Times New Roman" w:hAnsi="Times New Roman" w:cs="Times New Roman"/>
          <w:sz w:val="24"/>
          <w:szCs w:val="24"/>
        </w:rPr>
      </w:pP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t>Figure S5</w:t>
      </w:r>
      <w:r w:rsidRPr="00BE5D9B">
        <w:rPr>
          <w:rFonts w:ascii="Times New Roman" w:hAnsi="Times New Roman" w:cs="Times New Roman"/>
          <w:sz w:val="24"/>
          <w:szCs w:val="24"/>
        </w:rPr>
        <w:t xml:space="preserve"> top 25 predictors of pairwise AUCRF for differentiating MRO and MCA</w:t>
      </w:r>
    </w:p>
    <w:p w:rsidR="00DD4582" w:rsidRDefault="00DD4582" w:rsidP="00FC6837">
      <w:pPr>
        <w:rPr>
          <w:rFonts w:ascii="Times New Roman" w:hAnsi="Times New Roman" w:cs="Times New Roman"/>
          <w:sz w:val="24"/>
          <w:szCs w:val="24"/>
        </w:rPr>
      </w:pP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t>Figure S6</w:t>
      </w:r>
      <w:r w:rsidRPr="00BE5D9B">
        <w:rPr>
          <w:rFonts w:ascii="Times New Roman" w:hAnsi="Times New Roman" w:cs="Times New Roman"/>
          <w:sz w:val="24"/>
          <w:szCs w:val="24"/>
        </w:rPr>
        <w:t xml:space="preserve"> top 25 predictors of pairwise AUCRF for differentiating MRC-MCA</w:t>
      </w:r>
    </w:p>
    <w:p w:rsidR="00DD4582" w:rsidRDefault="00DD4582" w:rsidP="00FC6837">
      <w:pPr>
        <w:rPr>
          <w:rFonts w:ascii="Times New Roman" w:hAnsi="Times New Roman" w:cs="Times New Roman"/>
          <w:sz w:val="24"/>
          <w:szCs w:val="24"/>
        </w:rPr>
      </w:pPr>
    </w:p>
    <w:p w:rsidR="00DD4582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b/>
          <w:sz w:val="24"/>
          <w:szCs w:val="24"/>
        </w:rPr>
        <w:t>Figure S7</w:t>
      </w:r>
      <w:r w:rsidRPr="00BE5D9B">
        <w:rPr>
          <w:rFonts w:ascii="Times New Roman" w:hAnsi="Times New Roman" w:cs="Times New Roman"/>
          <w:sz w:val="24"/>
          <w:szCs w:val="24"/>
        </w:rPr>
        <w:t xml:space="preserve"> Predictive function analysis (levels 3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PICRUSt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>)</w:t>
      </w: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</w:p>
    <w:p w:rsidR="00DD4582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DD4582">
        <w:rPr>
          <w:rFonts w:ascii="Times New Roman" w:hAnsi="Times New Roman" w:cs="Times New Roman"/>
          <w:b/>
          <w:sz w:val="24"/>
          <w:szCs w:val="24"/>
        </w:rPr>
        <w:t>Figure S8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eastAsia="SimSun" w:hAnsi="Times New Roman" w:cs="Times New Roman"/>
          <w:color w:val="000000"/>
          <w:kern w:val="0"/>
          <w:sz w:val="24"/>
          <w:szCs w:val="24"/>
          <w:shd w:val="clear" w:color="auto" w:fill="FFFFFF"/>
        </w:rPr>
        <w:t>Comparing taxon-level contribution profiles of functional shifts in MRC rumen samples by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FishTaco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233" w:rsidRPr="00BE5D9B" w:rsidRDefault="00697233" w:rsidP="00697233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sz w:val="24"/>
          <w:szCs w:val="24"/>
        </w:rPr>
        <w:t xml:space="preserve">Taxon-level shift contribution profiles for some case-associated (MRC case, MRO control) functional modules by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FishTaco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. The horizontal axis represents rank and statistic scores, and the vertical axis represents related pathways. 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 xml:space="preserve">For each functional pathway, the bar on the top-right of Y axis represents case-associated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driving the enrichment in the functional module; the bar on the top-left of Y axis indicates case-associated </w:t>
      </w:r>
      <w:r>
        <w:rPr>
          <w:rFonts w:ascii="Times New Roman" w:hAnsi="Times New Roman" w:cs="Times New Roman" w:hint="eastAsia"/>
          <w:sz w:val="24"/>
          <w:szCs w:val="24"/>
        </w:rPr>
        <w:t>bacteria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sz w:val="24"/>
          <w:szCs w:val="24"/>
        </w:rPr>
        <w:t xml:space="preserve">attenuating functional shift; the bar on the bottom-right of Y axis represents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depleted in control driving functional shift; the bar on the bottom-left of Y axis shows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depleted in control attenuating functional shift.</w:t>
      </w:r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White diamonds represent </w:t>
      </w:r>
      <w:r>
        <w:rPr>
          <w:rFonts w:ascii="Times New Roman" w:hAnsi="Times New Roman" w:cs="Times New Roman"/>
          <w:sz w:val="24"/>
        </w:rPr>
        <w:t>bacterial</w:t>
      </w:r>
      <w:r w:rsidRPr="00BE5D9B">
        <w:rPr>
          <w:rFonts w:ascii="Times New Roman" w:hAnsi="Times New Roman" w:cs="Times New Roman"/>
          <w:sz w:val="24"/>
          <w:szCs w:val="24"/>
        </w:rPr>
        <w:t>-based functional shift scores</w:t>
      </w:r>
    </w:p>
    <w:p w:rsidR="00697233" w:rsidRPr="00BE5D9B" w:rsidRDefault="00697233" w:rsidP="006972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D9B">
        <w:rPr>
          <w:rFonts w:ascii="Times New Roman" w:hAnsi="Times New Roman" w:cs="Times New Roman"/>
          <w:sz w:val="24"/>
          <w:szCs w:val="24"/>
        </w:rPr>
        <w:t>FishTaco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>:Functional</w:t>
      </w:r>
      <w:proofErr w:type="spellEnd"/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Shifts’ Taxonomic Contributors;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hAnsi="Times New Roman" w:cs="Times New Roman"/>
          <w:kern w:val="0"/>
          <w:sz w:val="24"/>
          <w:szCs w:val="24"/>
        </w:rPr>
        <w:t>MRO=milk replacer; MRC= milk replacer + concentrate</w:t>
      </w:r>
    </w:p>
    <w:p w:rsidR="00697233" w:rsidRDefault="00697233" w:rsidP="00DD4582">
      <w:pPr>
        <w:rPr>
          <w:rFonts w:ascii="Times New Roman" w:hAnsi="Times New Roman" w:cs="Times New Roman"/>
          <w:sz w:val="24"/>
          <w:szCs w:val="24"/>
        </w:rPr>
      </w:pPr>
    </w:p>
    <w:p w:rsidR="00DD4582" w:rsidRPr="00BE5D9B" w:rsidRDefault="00DD4582" w:rsidP="00DD4582">
      <w:pPr>
        <w:rPr>
          <w:rFonts w:ascii="Times New Roman" w:hAnsi="Times New Roman" w:cs="Times New Roman"/>
          <w:sz w:val="24"/>
          <w:szCs w:val="24"/>
        </w:rPr>
      </w:pPr>
    </w:p>
    <w:p w:rsidR="00DD4582" w:rsidRDefault="00DD4582" w:rsidP="00DD4582">
      <w:pPr>
        <w:rPr>
          <w:rFonts w:ascii="Times New Roman" w:hAnsi="Times New Roman" w:cs="Times New Roman"/>
          <w:sz w:val="24"/>
          <w:szCs w:val="24"/>
        </w:rPr>
      </w:pPr>
      <w:r w:rsidRPr="00DD4582">
        <w:rPr>
          <w:rFonts w:ascii="Times New Roman" w:hAnsi="Times New Roman" w:cs="Times New Roman"/>
          <w:b/>
          <w:sz w:val="24"/>
          <w:szCs w:val="24"/>
        </w:rPr>
        <w:t>Figure S9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r w:rsidRPr="00BE5D9B">
        <w:rPr>
          <w:rFonts w:ascii="Times New Roman" w:eastAsia="SimSun" w:hAnsi="Times New Roman" w:cs="Times New Roman"/>
          <w:color w:val="000000"/>
          <w:kern w:val="0"/>
          <w:sz w:val="24"/>
          <w:szCs w:val="24"/>
          <w:shd w:val="clear" w:color="auto" w:fill="FFFFFF"/>
        </w:rPr>
        <w:t>Comparing taxon-level contribution profiles of functional shifts in MCA rumen samples by</w:t>
      </w:r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fishtaco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233" w:rsidRPr="00BE5D9B" w:rsidRDefault="00697233" w:rsidP="00697233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sz w:val="24"/>
          <w:szCs w:val="24"/>
        </w:rPr>
        <w:t xml:space="preserve">Taxon-level shift contribution profiles for some case-associated (MCA case, MRO control) functional modules by </w:t>
      </w:r>
      <w:proofErr w:type="spellStart"/>
      <w:r w:rsidRPr="00BE5D9B">
        <w:rPr>
          <w:rFonts w:ascii="Times New Roman" w:hAnsi="Times New Roman" w:cs="Times New Roman"/>
          <w:sz w:val="24"/>
          <w:szCs w:val="24"/>
        </w:rPr>
        <w:t>FishTaco</w:t>
      </w:r>
      <w:proofErr w:type="spellEnd"/>
      <w:r w:rsidRPr="00BE5D9B">
        <w:rPr>
          <w:rFonts w:ascii="Times New Roman" w:hAnsi="Times New Roman" w:cs="Times New Roman"/>
          <w:sz w:val="24"/>
          <w:szCs w:val="24"/>
        </w:rPr>
        <w:t xml:space="preserve">. The horizontal axis represents rank and statistic scores, and the vertical axis represents related pathways. 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 xml:space="preserve">For each functional pathway, the bar on the top-right of Y axis represents case-associated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driving the enrichment in the functional module; the bar on the top-left of Y axis indicates case-associated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attenuating functional shift; the bar on the bottom-right of Y axis represents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depleted in control driving functional shift; the bar </w:t>
      </w:r>
      <w:r w:rsidRPr="00BE5D9B">
        <w:rPr>
          <w:rFonts w:ascii="Times New Roman" w:hAnsi="Times New Roman" w:cs="Times New Roman"/>
          <w:sz w:val="24"/>
          <w:szCs w:val="24"/>
        </w:rPr>
        <w:lastRenderedPageBreak/>
        <w:t xml:space="preserve">on the bottom-left of Y axis shows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BE5D9B">
        <w:rPr>
          <w:rFonts w:ascii="Times New Roman" w:hAnsi="Times New Roman" w:cs="Times New Roman"/>
          <w:sz w:val="24"/>
          <w:szCs w:val="24"/>
        </w:rPr>
        <w:t xml:space="preserve"> depleted in control attenuating functional shift.</w:t>
      </w:r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White diamonds represent </w:t>
      </w:r>
      <w:r>
        <w:rPr>
          <w:rFonts w:ascii="Times New Roman" w:hAnsi="Times New Roman" w:cs="Times New Roman"/>
          <w:sz w:val="24"/>
          <w:szCs w:val="24"/>
        </w:rPr>
        <w:t>bacterial</w:t>
      </w:r>
      <w:r w:rsidRPr="00BE5D9B">
        <w:rPr>
          <w:rFonts w:ascii="Times New Roman" w:hAnsi="Times New Roman" w:cs="Times New Roman"/>
          <w:sz w:val="24"/>
          <w:szCs w:val="24"/>
        </w:rPr>
        <w:t xml:space="preserve">-based functional shift scores. </w:t>
      </w:r>
    </w:p>
    <w:p w:rsidR="00697233" w:rsidRPr="00BE5D9B" w:rsidRDefault="00697233" w:rsidP="00697233">
      <w:pPr>
        <w:rPr>
          <w:rFonts w:ascii="Times New Roman" w:hAnsi="Times New Roman" w:cs="Times New Roman"/>
          <w:sz w:val="24"/>
          <w:szCs w:val="24"/>
        </w:rPr>
      </w:pPr>
      <w:r w:rsidRPr="00BE5D9B">
        <w:rPr>
          <w:rFonts w:ascii="Times New Roman" w:hAnsi="Times New Roman" w:cs="Times New Roman"/>
          <w:kern w:val="0"/>
          <w:sz w:val="24"/>
          <w:szCs w:val="24"/>
        </w:rPr>
        <w:t>MRO=milk replacer; MCA= milk replacer + concentrate + alfalfa;</w:t>
      </w:r>
    </w:p>
    <w:p w:rsidR="00697233" w:rsidRPr="00BE5D9B" w:rsidRDefault="00697233" w:rsidP="006972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D9B">
        <w:rPr>
          <w:rFonts w:ascii="Times New Roman" w:hAnsi="Times New Roman" w:cs="Times New Roman"/>
          <w:sz w:val="24"/>
          <w:szCs w:val="24"/>
        </w:rPr>
        <w:t>FishTaco</w:t>
      </w:r>
      <w:proofErr w:type="gramStart"/>
      <w:r w:rsidRPr="00BE5D9B">
        <w:rPr>
          <w:rFonts w:ascii="Times New Roman" w:hAnsi="Times New Roman" w:cs="Times New Roman"/>
          <w:sz w:val="24"/>
          <w:szCs w:val="24"/>
        </w:rPr>
        <w:t>:Functional</w:t>
      </w:r>
      <w:proofErr w:type="spellEnd"/>
      <w:proofErr w:type="gramEnd"/>
      <w:r w:rsidRPr="00BE5D9B">
        <w:rPr>
          <w:rFonts w:ascii="Times New Roman" w:hAnsi="Times New Roman" w:cs="Times New Roman"/>
          <w:sz w:val="24"/>
          <w:szCs w:val="24"/>
        </w:rPr>
        <w:t xml:space="preserve"> Shifts’ Taxonomic Contributors;</w:t>
      </w:r>
    </w:p>
    <w:p w:rsidR="00DD4582" w:rsidRDefault="00DD4582" w:rsidP="00DD4582">
      <w:pPr>
        <w:rPr>
          <w:rFonts w:ascii="Times New Roman" w:hAnsi="Times New Roman" w:cs="Times New Roman"/>
          <w:sz w:val="24"/>
          <w:szCs w:val="24"/>
        </w:rPr>
      </w:pPr>
    </w:p>
    <w:p w:rsidR="00DD4582" w:rsidRDefault="00DD4582" w:rsidP="00FC6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4582" w:rsidRDefault="00DD4582" w:rsidP="00FC6837">
      <w:pPr>
        <w:rPr>
          <w:rFonts w:ascii="Times New Roman" w:hAnsi="Times New Roman" w:cs="Times New Roman"/>
          <w:b/>
          <w:sz w:val="24"/>
          <w:szCs w:val="24"/>
        </w:rPr>
      </w:pPr>
    </w:p>
    <w:p w:rsidR="00FC6837" w:rsidRDefault="00FC6837" w:rsidP="00FC6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files legends</w:t>
      </w:r>
    </w:p>
    <w:p w:rsidR="00FC6837" w:rsidRDefault="00FC6837" w:rsidP="00FC6837">
      <w:pPr>
        <w:rPr>
          <w:rFonts w:ascii="Times New Roman" w:hAnsi="Times New Roman" w:cs="Times New Roman"/>
          <w:sz w:val="24"/>
          <w:szCs w:val="24"/>
        </w:rPr>
      </w:pPr>
    </w:p>
    <w:p w:rsidR="00FC6837" w:rsidRDefault="00FC6837" w:rsidP="00FC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S1:</w:t>
      </w:r>
      <w:r w:rsidRPr="00FC6837">
        <w:rPr>
          <w:rFonts w:ascii="Times New Roman" w:hAnsi="Times New Roman" w:cs="Times New Roman"/>
          <w:sz w:val="24"/>
          <w:szCs w:val="24"/>
        </w:rPr>
        <w:t xml:space="preserve"> Pearson correlation between top 50 species selected by </w:t>
      </w:r>
      <w:proofErr w:type="spellStart"/>
      <w:r w:rsidRPr="00FC6837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FC6837">
        <w:rPr>
          <w:rFonts w:ascii="Times New Roman" w:hAnsi="Times New Roman" w:cs="Times New Roman"/>
          <w:sz w:val="24"/>
          <w:szCs w:val="24"/>
        </w:rPr>
        <w:t xml:space="preserve"> regression and major nutrient intake of goat kids</w:t>
      </w:r>
      <w:r>
        <w:rPr>
          <w:rFonts w:ascii="Times New Roman" w:hAnsi="Times New Roman" w:cs="Times New Roman"/>
          <w:sz w:val="24"/>
          <w:szCs w:val="24"/>
        </w:rPr>
        <w:t xml:space="preserve"> (sheet ‘ADFI’) and </w:t>
      </w:r>
      <w:r w:rsidRPr="00FC6837">
        <w:rPr>
          <w:rFonts w:ascii="Times New Roman" w:hAnsi="Times New Roman" w:cs="Times New Roman"/>
          <w:sz w:val="24"/>
          <w:szCs w:val="24"/>
        </w:rPr>
        <w:t>fermentation parameters and pre-slaughter live weight of goat kids</w:t>
      </w:r>
      <w:r>
        <w:rPr>
          <w:rFonts w:ascii="Times New Roman" w:hAnsi="Times New Roman" w:cs="Times New Roman"/>
          <w:sz w:val="24"/>
          <w:szCs w:val="24"/>
        </w:rPr>
        <w:t xml:space="preserve"> (sheet ‘VFA’)</w:t>
      </w:r>
    </w:p>
    <w:p w:rsidR="00FC6837" w:rsidRDefault="00FC6837" w:rsidP="00FC6837">
      <w:pPr>
        <w:rPr>
          <w:rFonts w:ascii="Times New Roman" w:hAnsi="Times New Roman" w:cs="Times New Roman"/>
          <w:sz w:val="24"/>
          <w:szCs w:val="24"/>
        </w:rPr>
      </w:pPr>
    </w:p>
    <w:p w:rsidR="00FC6837" w:rsidRDefault="00FC6837" w:rsidP="00FC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S2: </w:t>
      </w:r>
      <w:proofErr w:type="spellStart"/>
      <w:r w:rsidR="005F5977">
        <w:rPr>
          <w:rFonts w:ascii="Times New Roman" w:hAnsi="Times New Roman" w:cs="Times New Roman"/>
          <w:sz w:val="24"/>
          <w:szCs w:val="24"/>
        </w:rPr>
        <w:t>FishTaco</w:t>
      </w:r>
      <w:proofErr w:type="spellEnd"/>
      <w:r w:rsidR="005F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977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5F5977">
        <w:rPr>
          <w:rFonts w:ascii="Times New Roman" w:hAnsi="Times New Roman" w:cs="Times New Roman"/>
          <w:sz w:val="24"/>
          <w:szCs w:val="24"/>
        </w:rPr>
        <w:t xml:space="preserve"> for MRO as control vs MRC as case </w:t>
      </w:r>
    </w:p>
    <w:p w:rsidR="005F5977" w:rsidRDefault="005F5977" w:rsidP="00FC6837">
      <w:pPr>
        <w:rPr>
          <w:rFonts w:ascii="Times New Roman" w:hAnsi="Times New Roman" w:cs="Times New Roman"/>
          <w:sz w:val="24"/>
          <w:szCs w:val="24"/>
        </w:rPr>
      </w:pPr>
    </w:p>
    <w:p w:rsidR="005F5977" w:rsidRPr="00FC6837" w:rsidRDefault="005F5977" w:rsidP="005F5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S3: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FishTaco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MRO as control vs MCA as case </w:t>
      </w:r>
    </w:p>
    <w:p w:rsidR="005F5977" w:rsidRDefault="005F5977" w:rsidP="00FC6837">
      <w:pPr>
        <w:rPr>
          <w:rFonts w:ascii="Times New Roman" w:hAnsi="Times New Roman" w:cs="Times New Roman"/>
          <w:sz w:val="24"/>
          <w:szCs w:val="24"/>
        </w:rPr>
      </w:pPr>
    </w:p>
    <w:p w:rsidR="005F5977" w:rsidRPr="00FC6837" w:rsidRDefault="005F5977" w:rsidP="00FC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S4: OTUs taxonomy, their NCBI blast results and sequences</w:t>
      </w:r>
    </w:p>
    <w:p w:rsidR="00695C30" w:rsidRDefault="00695C30"/>
    <w:sectPr w:rsidR="00695C30" w:rsidSect="00697233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232" w:rsidRDefault="00C72232" w:rsidP="00697233">
      <w:r>
        <w:separator/>
      </w:r>
    </w:p>
  </w:endnote>
  <w:endnote w:type="continuationSeparator" w:id="0">
    <w:p w:rsidR="00C72232" w:rsidRDefault="00C72232" w:rsidP="0069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160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233" w:rsidRDefault="00697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34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97233" w:rsidRDefault="00697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232" w:rsidRDefault="00C72232" w:rsidP="00697233">
      <w:r>
        <w:separator/>
      </w:r>
    </w:p>
  </w:footnote>
  <w:footnote w:type="continuationSeparator" w:id="0">
    <w:p w:rsidR="00C72232" w:rsidRDefault="00C72232" w:rsidP="00697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36"/>
    <w:rsid w:val="004D6F9B"/>
    <w:rsid w:val="005F5977"/>
    <w:rsid w:val="00695C30"/>
    <w:rsid w:val="00697233"/>
    <w:rsid w:val="008F7B36"/>
    <w:rsid w:val="00985675"/>
    <w:rsid w:val="00B1734D"/>
    <w:rsid w:val="00BA2CE5"/>
    <w:rsid w:val="00C72232"/>
    <w:rsid w:val="00DD4582"/>
    <w:rsid w:val="00E12907"/>
    <w:rsid w:val="00F45F33"/>
    <w:rsid w:val="00F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6C09"/>
  <w15:chartTrackingRefBased/>
  <w15:docId w15:val="{7778F3F6-D283-49DA-A142-4E3F8F9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3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837"/>
    <w:rPr>
      <w:kern w:val="2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837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37"/>
    <w:rPr>
      <w:rFonts w:ascii="Segoe UI" w:hAnsi="Segoe UI" w:cs="Segoe UI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37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837"/>
    <w:rPr>
      <w:b/>
      <w:bCs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83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FC6837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6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683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6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C6837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6837"/>
    <w:rPr>
      <w:rFonts w:ascii="Calibri" w:hAnsi="Calibri"/>
      <w:noProof/>
      <w:kern w:val="2"/>
      <w:sz w:val="20"/>
    </w:rPr>
  </w:style>
  <w:style w:type="paragraph" w:customStyle="1" w:styleId="EndNoteBibliography">
    <w:name w:val="EndNote Bibliography"/>
    <w:basedOn w:val="Normal"/>
    <w:link w:val="EndNoteBibliographyChar"/>
    <w:rsid w:val="00FC6837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FC6837"/>
    <w:rPr>
      <w:rFonts w:ascii="Calibri" w:hAnsi="Calibri"/>
      <w:noProof/>
      <w:kern w:val="2"/>
      <w:sz w:val="20"/>
    </w:rPr>
  </w:style>
  <w:style w:type="character" w:customStyle="1" w:styleId="style1">
    <w:name w:val="style1"/>
    <w:basedOn w:val="DefaultParagraphFont"/>
    <w:rsid w:val="00FC6837"/>
  </w:style>
  <w:style w:type="character" w:styleId="LineNumber">
    <w:name w:val="line number"/>
    <w:basedOn w:val="DefaultParagraphFont"/>
    <w:uiPriority w:val="99"/>
    <w:semiHidden/>
    <w:unhideWhenUsed/>
    <w:rsid w:val="00697233"/>
  </w:style>
  <w:style w:type="table" w:styleId="TableGrid">
    <w:name w:val="Table Grid"/>
    <w:basedOn w:val="TableNormal"/>
    <w:qFormat/>
    <w:rsid w:val="0069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Chai</dc:creator>
  <cp:keywords/>
  <dc:description/>
  <cp:lastModifiedBy>Jianmin Chai</cp:lastModifiedBy>
  <cp:revision>5</cp:revision>
  <dcterms:created xsi:type="dcterms:W3CDTF">2019-08-04T03:45:00Z</dcterms:created>
  <dcterms:modified xsi:type="dcterms:W3CDTF">2019-08-14T01:40:00Z</dcterms:modified>
</cp:coreProperties>
</file>