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เพศและเจนเดอร์</w:t>
      </w:r>
      <w:r>
        <w:rPr>
          <w:i w:val="false"/>
          <w:iCs w:val="false"/>
          <w:color w:val="1F4E5F"/>
          <w:sz w:val="40"/>
          <w:szCs w:val="40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หญิงหรือชายอะไรที่ต่าง</w:t>
      </w:r>
    </w:p>
    <w:p>
      <w:pPr>
        <w:spacing w:after="300"/>
        <w:jc w:val="center"/>
      </w:pP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สรุปเนื้อหาจากสไลด์บรรยายของ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ดร</w:t>
      </w:r>
      <w:r>
        <w:rPr>
          <w:i/>
          <w:iCs/>
          <w:color w:val="555555"/>
          <w:sz w:val="24"/>
          <w:szCs w:val="24"/>
        </w:rPr>
        <w:t xml:space="preserve">. </w:t>
      </w: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กรสิริ</w:t>
      </w:r>
      <w:r>
        <w:rPr>
          <w:i/>
          <w:iCs/>
          <w:color w:val="555555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ศรีกุลนาถ</w:t>
      </w:r>
      <w:r>
        <w:rPr>
          <w:i/>
          <w:iCs/>
          <w:color w:val="555555"/>
          <w:sz w:val="24"/>
          <w:szCs w:val="24"/>
        </w:rPr>
        <w:t xml:space="preserve"> (Kornsorn Srikulnath, Ph.D.), AGB Research Center, </w:t>
      </w: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มหาวิทยาลัยเกษตรศาสตร์</w:t>
      </w:r>
    </w:p>
    <w:p>
      <w:pPr>
        <w:pBdr>
          <w:bottom w:val="single" w:color="2E75B6" w:sz="10" w:space="6"/>
        </w:pBdr>
        <w:spacing w:after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888888"/>
          <w:sz w:val="20"/>
          <w:szCs w:val="20"/>
        </w:rPr>
        <w:t xml:space="preserve">ไฟล์ต้นฉบับ</w:t>
      </w:r>
      <w:r>
        <w:rPr>
          <w:i w:val="false"/>
          <w:iCs w:val="false"/>
          <w:color w:val="888888"/>
          <w:sz w:val="20"/>
          <w:szCs w:val="20"/>
        </w:rPr>
        <w:t xml:space="preserve">: Sex _Gender_Kornsorn.pdf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การกำหนดเพศ</w:t>
      </w:r>
      <w:r>
        <w:rPr>
          <w:i w:val="false"/>
          <w:iCs w:val="false"/>
          <w:color w:val="2E75B6"/>
          <w:sz w:val="26"/>
          <w:szCs w:val="26"/>
        </w:rPr>
        <w:t xml:space="preserve"> (Sex determination)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เพศของสิ่งมีชีวิตถูกกำหนดได้สองแนวทางหลัก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คือ</w:t>
      </w:r>
      <w:r>
        <w:rPr>
          <w:i w:val="false"/>
          <w:iCs w:val="false"/>
          <w:sz w:val="24"/>
          <w:szCs w:val="24"/>
        </w:rPr>
        <w:t xml:space="preserve"> Genetic sex determination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ซึ่งกำหนดจากโครโมโซมเพศ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</w:t>
      </w:r>
      <w:r>
        <w:rPr>
          <w:i w:val="false"/>
          <w:iCs w:val="false"/>
          <w:sz w:val="24"/>
          <w:szCs w:val="24"/>
        </w:rPr>
        <w:t xml:space="preserve"> Environmental sex determination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ซึ่งกำหนดจากปัจจัยแวดล้อม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อุณหภูมิหรือปัจจัยทางสังคม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ระบบ</w:t>
      </w:r>
      <w:r>
        <w:rPr>
          <w:i w:val="false"/>
          <w:iCs w:val="false"/>
          <w:sz w:val="24"/>
          <w:szCs w:val="24"/>
        </w:rPr>
        <w:t xml:space="preserve"> XX/XY: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พบในมนุษย์และสัตว์เลี้ยงลูกด้วยนม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ระบบ</w:t>
      </w:r>
      <w:r>
        <w:rPr>
          <w:i w:val="false"/>
          <w:iCs w:val="false"/>
          <w:sz w:val="24"/>
          <w:szCs w:val="24"/>
        </w:rPr>
        <w:t xml:space="preserve"> XO: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พบในจิ้งหรีดและแมลงปีกตรงบางชนิด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เพศผู้มีโครโมโซมเพียงชุดเดียว</w:t>
      </w:r>
      <w:r>
        <w:rPr>
          <w:i w:val="false"/>
          <w:iCs w:val="false"/>
          <w:sz w:val="24"/>
          <w:szCs w:val="24"/>
        </w:rPr>
        <w:t xml:space="preserve"> (XO)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เพศเมียเป็น</w:t>
      </w:r>
      <w:r>
        <w:rPr>
          <w:i w:val="false"/>
          <w:iCs w:val="false"/>
          <w:sz w:val="24"/>
          <w:szCs w:val="24"/>
        </w:rPr>
        <w:t xml:space="preserve"> XX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ระบบ</w:t>
      </w:r>
      <w:r>
        <w:rPr>
          <w:i w:val="false"/>
          <w:iCs w:val="false"/>
          <w:sz w:val="24"/>
          <w:szCs w:val="24"/>
        </w:rPr>
        <w:t xml:space="preserve"> ZZ/ZW: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พบในสัตว์ปีก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สัตว์เลื้อยคลาน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และสัตว์ครึ่งบกครึ่งน้ำบางชนิด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ตุ่นปากเป็ด</w:t>
      </w:r>
      <w:r>
        <w:rPr>
          <w:i w:val="false"/>
          <w:iCs w:val="false"/>
          <w:sz w:val="24"/>
          <w:szCs w:val="24"/>
        </w:rPr>
        <w:t xml:space="preserve"> (platypus)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มีระบบโครโมโซมเพศที่ซับซ้อนเป็นพิเศษ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คือมีโครโมโซมเพศหลายคู่</w:t>
      </w:r>
      <w:r>
        <w:rPr>
          <w:i w:val="false"/>
          <w:iCs w:val="false"/>
          <w:sz w:val="24"/>
          <w:szCs w:val="24"/>
        </w:rPr>
        <w:t xml:space="preserve"> (X1-X5, Y1-Y5)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ระบบการกำหนดเพศในสิ่งมีชีวิตชนิดต่าง</w:t>
      </w:r>
      <w:r>
        <w:rPr>
          <w:i w:val="false"/>
          <w:iCs w:val="false"/>
          <w:color w:val="666666"/>
          <w:sz w:val="20"/>
          <w:szCs w:val="20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ๆ</w:t>
      </w:r>
      <w:r>
        <w:rPr>
          <w:i w:val="false"/>
          <w:iCs w:val="false"/>
          <w:color w:val="666666"/>
          <w:sz w:val="20"/>
          <w:szCs w:val="20"/>
        </w:rPr>
        <w:t xml:space="preserve"> (XX/XY, XO, ZZ/ZW)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แคริโอไทป์และภาวะเพศกำกวม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แคริโอไทป์</w:t>
      </w:r>
      <w:r>
        <w:rPr>
          <w:i w:val="false"/>
          <w:iCs w:val="false"/>
          <w:sz w:val="24"/>
          <w:szCs w:val="24"/>
        </w:rPr>
        <w:t xml:space="preserve"> (karyotype)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ของเพศชายและเพศหญิงแสดงชุดโครโมโซม</w:t>
      </w:r>
      <w:r>
        <w:rPr>
          <w:i w:val="false"/>
          <w:iCs w:val="false"/>
          <w:sz w:val="24"/>
          <w:szCs w:val="24"/>
        </w:rPr>
        <w:t xml:space="preserve"> 23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คู่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โดยต่างกันที่คู่โครโมโซมเพศ</w:t>
      </w:r>
      <w:r>
        <w:rPr>
          <w:i w:val="false"/>
          <w:iCs w:val="false"/>
          <w:sz w:val="24"/>
          <w:szCs w:val="24"/>
        </w:rPr>
        <w:t xml:space="preserve"> (XY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ในเพศชาย</w:t>
      </w:r>
      <w:r>
        <w:rPr>
          <w:i w:val="false"/>
          <w:iCs w:val="false"/>
          <w:sz w:val="24"/>
          <w:szCs w:val="24"/>
        </w:rPr>
        <w:t xml:space="preserve">, XX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ในเพศหญิง</w:t>
      </w:r>
      <w:r>
        <w:rPr>
          <w:i w:val="false"/>
          <w:iCs w:val="false"/>
          <w:sz w:val="24"/>
          <w:szCs w:val="24"/>
        </w:rPr>
        <w:t xml:space="preserve">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นอกจากนี้ยังมีภาวะที่ลักษณะทางเพศไม่ตรงตามแบบแผนทั่วไป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Hermaphrodite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มีอวัยวะสืบพันธุ์ทั้งสองเพศ</w:t>
      </w:r>
      <w:r>
        <w:rPr>
          <w:i w:val="false"/>
          <w:iCs w:val="false"/>
          <w:sz w:val="24"/>
          <w:szCs w:val="24"/>
        </w:rPr>
        <w:t xml:space="preserve">), Pseudohermaphrodite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</w:t>
      </w:r>
      <w:r>
        <w:rPr>
          <w:i w:val="false"/>
          <w:iCs w:val="false"/>
          <w:sz w:val="24"/>
          <w:szCs w:val="24"/>
        </w:rPr>
        <w:t xml:space="preserve"> Gynandromorph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ลักษณะภายนอกเป็นทั้งสองเพศในตัวเดียว</w:t>
      </w:r>
      <w:r>
        <w:rPr>
          <w:i w:val="false"/>
          <w:iCs w:val="false"/>
          <w:sz w:val="24"/>
          <w:szCs w:val="24"/>
        </w:rPr>
        <w:t xml:space="preserve">)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แคริโอไทป์ของเพศชายและเพศหญิง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เพศสภาพ</w:t>
      </w:r>
      <w:r>
        <w:rPr>
          <w:i w:val="false"/>
          <w:iCs w:val="false"/>
          <w:color w:val="2E75B6"/>
          <w:sz w:val="26"/>
          <w:szCs w:val="26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อัตลักษณ์ทางเพศ</w:t>
      </w:r>
      <w:r>
        <w:rPr>
          <w:i w:val="false"/>
          <w:iCs w:val="false"/>
          <w:color w:val="2E75B6"/>
          <w:sz w:val="26"/>
          <w:szCs w:val="26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และเป้าหมายความเท่าเทียม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สไลด์กล่าวถึงความหลากหลายทางเพศ</w:t>
      </w:r>
      <w:r>
        <w:rPr>
          <w:i w:val="false"/>
          <w:iCs w:val="false"/>
          <w:sz w:val="24"/>
          <w:szCs w:val="24"/>
        </w:rPr>
        <w:t xml:space="preserve"> (LGBTQ+)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ครอบคลุมคำนิยาม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Lesbian, Gay, Bisexual, Transgender, Queer, Polysexual, Pansexual, Non-binary, Asexual, Heterosexual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</w:t>
      </w:r>
      <w:r>
        <w:rPr>
          <w:i w:val="false"/>
          <w:iCs w:val="false"/>
          <w:sz w:val="24"/>
          <w:szCs w:val="24"/>
        </w:rPr>
        <w:t xml:space="preserve"> Intersexual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และเชื่อมโยงกับเป้าหมายการพัฒนาที่ยั่งยืนข้อที่</w:t>
      </w:r>
      <w:r>
        <w:rPr>
          <w:i w:val="false"/>
          <w:iCs w:val="false"/>
          <w:sz w:val="24"/>
          <w:szCs w:val="24"/>
        </w:rPr>
        <w:t xml:space="preserve"> 5 (SDG 5)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เรื่องการบรรลุความเท่าเทียมระหว่างเพศ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และเสริมสร้างความเข้มแข็งให้แก่สตรีและเด็กหญิง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3d3b5c829a9f8d6a2dca00a4c7af6c07354fd2.png"/><Relationship Id="rId8" Type="http://schemas.openxmlformats.org/officeDocument/2006/relationships/image" Target="media/f7c6d4c03b603d46f5e00b863787ad0ebd3a05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2026-08-08T13:37:08.506Z</dcterms:created>
  <dcterms:modified xsi:type="dcterms:W3CDTF">2026-08-08T13:37:08.506Z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