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2B1B12C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会议时间：2026年7月1日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杨涛、马怡帅</w:t>
      </w:r>
    </w:p>
    <w:p w14:paraId="4825C57D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曹彦宾、张昱</w:t>
      </w:r>
    </w:p>
    <w:p w14:paraId="19676027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13E843AA">
      <w:pP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本次会议为第一次周例会，本次会议主要围</w:t>
      </w:r>
      <w:bookmarkStart w:id="0" w:name="_GoBack"/>
      <w:bookmarkEnd w:id="0"/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绕</w:t>
      </w: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智能体项目的进度汇报、技术方案调整、硬件采购策略及后续工作安排展开，核心目标是确保7月中旬具备软硬件及应用发布条件。</w:t>
      </w:r>
    </w:p>
    <w:p w14:paraId="1B4B60BC">
      <w:pPr>
        <w:pStyle w:val="2"/>
      </w:pPr>
      <w:r>
        <w:rPr>
          <w:rFonts w:hint="default"/>
        </w:rPr>
        <w:t>项目进度与关键节点</w:t>
      </w:r>
    </w:p>
    <w:p w14:paraId="0E991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当前状态：已完成与范威同事的接口文档对接及部分开发工作，正在进行硬件选型。重点推进差旅报销应用的调试，包括OA权限接入、字段映射及发票附件上传测试。</w:t>
      </w:r>
    </w:p>
    <w:p w14:paraId="6E43A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时间调整：根据领导要求，整体进度需提前。原定8月1日全面推广的目标调整为7月23日左右完成落地，以确保7月中旬（最晚）具备发布条件。</w:t>
      </w:r>
    </w:p>
    <w:p w14:paraId="5D08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具体里程碑：</w:t>
      </w:r>
    </w:p>
    <w:p w14:paraId="54807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本周内：完成宣传视频录制，无论流程是否完全通畅，先形成成果用于宣传。</w:t>
      </w:r>
    </w:p>
    <w:p w14:paraId="2A337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7月3日：完成POC配置，员工可通过客户端上传材料生成报销草稿。</w:t>
      </w:r>
    </w:p>
    <w:p w14:paraId="59FDE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7月13日：启动少量种子用户真实业务测试，收集员工侧和财务侧反馈。</w:t>
      </w:r>
    </w:p>
    <w:p w14:paraId="5ECDC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7月20日：基于测试反馈进行复盘、流程优化及回归验证。</w:t>
      </w:r>
    </w:p>
    <w:p w14:paraId="2CAB9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7月23日：扩大使用范围，实现初步落地。</w:t>
      </w:r>
    </w:p>
    <w:p w14:paraId="5C9466A5">
      <w:pPr>
        <w:pStyle w:val="2"/>
      </w:pPr>
      <w:r>
        <w:rPr>
          <w:rFonts w:hint="default"/>
        </w:rPr>
        <w:t>技术方案与数据交互</w:t>
      </w:r>
    </w:p>
    <w:p w14:paraId="2CAEC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接口与数据库：此前会议确定采用API对接，现因部分功能（如地理位置选择）无标准接口，调整为开放数据库只读权限以获取基础数据（如行政区划），写入操作仍通过API接口完成（如生成报销草稿）。</w:t>
      </w:r>
    </w:p>
    <w:p w14:paraId="64122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安全架构：本地一体机部署在中控室，员工通过客户端访问。需确保本地一体机与联通云之间的通信安全，计划采用HTTPS隧道或加密技术，并限制访问IP范围，防止外部攻击渗透至OA系统。</w:t>
      </w:r>
    </w:p>
    <w:p w14:paraId="73693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功能逻辑：AI助手负责发票OCR识别、信息解析及OA表单预填写，最终提交动作由人工在OA系统中确认，以保障数据安全与合规。</w:t>
      </w:r>
    </w:p>
    <w:p w14:paraId="66EBD409">
      <w:pPr>
        <w:pStyle w:val="2"/>
      </w:pPr>
      <w:r>
        <w:rPr>
          <w:rFonts w:hint="default"/>
        </w:rPr>
        <w:t>硬件采购与立项策略</w:t>
      </w:r>
    </w:p>
    <w:p w14:paraId="72B20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算力需求：领导期望覆盖500人用户规模，并发需求约100左右。鉴于性能与显存要求，倾向于租赁高性能显卡（如5090）而非购买4090，采取“以租代购”模式。</w:t>
      </w:r>
    </w:p>
    <w:p w14:paraId="2711B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采购困境：大规模硬件租赁涉及复杂的科研立项流程，需联合多家厂商（如洞建等）共同申报科研项目以获取补贴，周期较长。</w:t>
      </w:r>
    </w:p>
    <w:p w14:paraId="5F30B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过渡方案：在正式采购合同落地前，利用内部现有机器支撑小范围测试，确保7月中旬的演示与试用不受影响。</w:t>
      </w:r>
    </w:p>
    <w:p w14:paraId="277751CF">
      <w:pPr>
        <w:pStyle w:val="2"/>
      </w:pPr>
    </w:p>
    <w:p w14:paraId="47F31CB7">
      <w:pPr>
        <w:pStyle w:val="2"/>
      </w:pPr>
      <w:r>
        <w:rPr>
          <w:rFonts w:hint="default"/>
        </w:rPr>
        <w:t>后续行动与协作机制</w:t>
      </w:r>
    </w:p>
    <w:p w14:paraId="56C1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立项协调：需尽快与监总沟通，明确科研立项的具体牵头部门与负责人，拟定项目框架本子。</w:t>
      </w:r>
    </w:p>
    <w:p w14:paraId="5F3C5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沟通机制：建立每周三例会制度，同步项目进展，协调解决技术与资源问题。</w:t>
      </w:r>
    </w:p>
    <w:p w14:paraId="25D5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  <w:t>测试支持：提供测试环境的全套账号（包括审批流相关角色），确保端到端流程验证畅通。</w:t>
      </w:r>
    </w:p>
    <w:p w14:paraId="429A6C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仿宋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66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2026-07-10T01:30:25Z</dcterms:created>
  <dc:creator>zhang</dc:creator>
  <cp:lastModifiedBy>飘</cp:lastModifiedBy>
  <dcterms:modified xsi:type="dcterms:W3CDTF">2026-07-10T01:48:44Z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53F53FE02CCE4CCCB9BBD87DA5466AB9_12</vt:lpwstr>
  </property>
</Properties>
</file>