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会议时间：2026年7月8日14:30-15:30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会议地点：雄安科创中心B栋1楼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卢肖、辛公舜、王海涛、武文斌、刘颖杰、王思齐、张紫科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唐玉伟、马怡帅</w:t>
      </w:r>
    </w:p>
    <w:p w14:paraId="4825C57D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曹彦宾、张昱、柴立身、孙天天</w:t>
      </w:r>
      <w:bookmarkStart w:id="0" w:name="_GoBack"/>
      <w:bookmarkEnd w:id="0"/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7B15A5B2">
      <w:pP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本次会议为第二次周例会，本次会议主要围绕财务报销智能体的测试进展、网络安全架构优化、OA系统接口权限细化以及后续AI应用场景的优先级规划展开。</w:t>
      </w:r>
    </w:p>
    <w:p w14:paraId="16AC5C00">
      <w:pPr>
        <w:pStyle w:val="2"/>
      </w:pPr>
      <w:r>
        <w:t>财务报销智能体进展与测试计划</w:t>
      </w:r>
    </w:p>
    <w:p w14:paraId="7354F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当前状态：核心链路已验证可用，本周重点进行稳定性测试、报销规则调整及角色权限探索。试点安排：预计7月13日（下周一）启动小范围用户测试，初期选取2-3名用户，受限于本地一体机算力性能，暂不扩大范围。后续目标：遵循每两周发布一个新场景的要求，目前正梳理其他潜在场景并与业务部门访谈。</w:t>
      </w:r>
    </w:p>
    <w:p w14:paraId="66A0147B">
      <w:pPr>
        <w:pStyle w:val="2"/>
      </w:pPr>
      <w:r>
        <w:t>网络安全与架构部署方案</w:t>
      </w:r>
    </w:p>
    <w:p w14:paraId="050EB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连接问题：针对一体机与联通云的交互，原计划通过公网映射存在安全隐患且配合度低。解决方案：拟采用Plan B，即通过路由器直连光猫组建局域网，与联通云建立内网隧道/专线连接，避免服务器直接暴露在公网，降低被攻击风险。行动项：需在7月10日前落实该网络方案的实际配置与可行性验证，并输出包含拓扑图和配置截图的技术文档。同时需厘清现有安全服务维保情况，明确责任方。</w:t>
      </w:r>
    </w:p>
    <w:p w14:paraId="1FBCF34A">
      <w:pPr>
        <w:pStyle w:val="2"/>
      </w:pPr>
      <w:r>
        <w:t>OA系统接口权限与审计需求</w:t>
      </w:r>
    </w:p>
    <w:p w14:paraId="4F88E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核心痛点：目前OA提供的API密钥权限过大，无法区分具体操作用户身份，导致操作不可追溯、不可审计。需求明确：希望实现“用户级”权限控制，即为每个用户生成独立令牌，使AI代理能代表特定用户身份执行操作，满足合规审计要求。现状与挑战：当前标准接口仅支持功能权限控制，暂不支持细粒度的数据权限（用户级隔离）。需与OA提供方（范伟/范围）进一步沟通接口定制化或替代方案，并在下周例会前落实。</w:t>
      </w:r>
    </w:p>
    <w:p w14:paraId="1850E79C">
      <w:pPr>
        <w:pStyle w:val="2"/>
      </w:pPr>
      <w:r>
        <w:t>后续AI应用场景规划与优先级</w:t>
      </w:r>
    </w:p>
    <w:p w14:paraId="15139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场景梳理：已收集包括活动方案、接待方案、出差申请、公文拟办、人事报表、合同审核等需求。优先级确定：财务报销：当前重点，推进试点测试。投资系统对接：列为第二优先级，需与建林总对接，解决此前未打通的投资系统与OA对接问题。其他场景：如合同审核需先推动法务标准化；人事、活动等场景暂缓，待前两项稳定后滚动推进。统一身份认证：长期规划将建设统一身份认证系统以打通各业务系统账号，短期内需通过手动映射方式过渡，但新系统设计需预留适配AI的能力。</w:t>
      </w:r>
    </w:p>
    <w:p w14:paraId="1558B656">
      <w:pPr>
        <w:pStyle w:val="2"/>
      </w:pPr>
      <w:r>
        <w:t>其他事项</w:t>
      </w:r>
    </w:p>
    <w:p w14:paraId="0ED89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立项流程：科研合作项目需在下周一上会审议，需尽快完善内部申报书。终端入口：倾向于使用钉钉作为AI触达用户的统一端口，而非独立APP或原有OA手机端，以便集中管理。</w:t>
      </w:r>
    </w:p>
    <w:p w14:paraId="35D95E4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公文仿宋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D2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2026-07-10T01:32:03Z</dcterms:created>
  <dc:creator>zhang</dc:creator>
  <cp:lastModifiedBy>飘</cp:lastModifiedBy>
  <dcterms:modified xsi:type="dcterms:W3CDTF">2026-07-10T01:46:39Z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9990C1E9B596422B81FCE525F31B2EB0_12</vt:lpwstr>
  </property>
</Properties>
</file>