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8FE0A33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雄安科学园信息化咨询顶层设计</w:t>
      </w:r>
    </w:p>
    <w:p w14:paraId="19B9FE15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及全过程顾问咨询项目</w:t>
      </w:r>
    </w:p>
    <w:p w14:paraId="2A27266E">
      <w:pPr>
        <w:numPr>
          <w:ilvl w:val="0"/>
          <w:numId w:val="0"/>
        </w:numPr>
        <w:ind w:left="420" w:leftChars="0"/>
        <w:jc w:val="center"/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36"/>
          <w:szCs w:val="28"/>
          <w:lang w:val="en-US" w:eastAsia="zh-CN" w:bidi="ar-SA"/>
        </w:rPr>
        <w:t>AGENT周例会会议纪要</w:t>
      </w:r>
    </w:p>
    <w:p w14:paraId="02AA28BB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lang w:val="en-US" w:eastAsia="zh-CN"/>
        </w:rPr>
      </w:pPr>
    </w:p>
    <w:p w14:paraId="360C1B72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会议时间：2026年7月22日9:30-10:30</w:t>
      </w:r>
    </w:p>
    <w:p w14:paraId="1C0B90F3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会议地点：雄安科创中心C栋2楼</w:t>
      </w:r>
    </w:p>
    <w:p w14:paraId="6F8C666E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参会人员：</w:t>
      </w:r>
    </w:p>
    <w:p w14:paraId="27610A86">
      <w:pPr>
        <w:keepNext w:val="0"/>
        <w:keepLines w:val="0"/>
        <w:widowControl/>
        <w:suppressLineNumbers w:val="0"/>
        <w:jc w:val="left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卢肖、武文斌、尹曼莉、王思齐、张紫科</w:t>
      </w:r>
    </w:p>
    <w:p w14:paraId="4293F1E0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唐玉伟、马怡帅</w:t>
      </w:r>
    </w:p>
    <w:p w14:paraId="5A434A07">
      <w:pPr>
        <w:numPr>
          <w:ilvl w:val="0"/>
          <w:numId w:val="0"/>
        </w:numPr>
        <w:ind w:left="420" w:leftChars="0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邢晰婷、付博文 </w:t>
      </w:r>
    </w:p>
    <w:p w14:paraId="4825C57D">
      <w:pPr>
        <w:numPr>
          <w:ilvl w:val="0"/>
          <w:numId w:val="0"/>
        </w:numPr>
        <w:ind w:left="420" w:leftChars="0"/>
        <w:rPr>
          <w:rFonts w:hint="default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曹彦宾、柴立身、孙天天、刘军</w:t>
      </w:r>
    </w:p>
    <w:p w14:paraId="15BEFD82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会议主要内容：</w:t>
      </w:r>
    </w:p>
    <w:p w14:paraId="09068B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本次会议为第四次周例会，本次会议主要围绕智能体落地、OA系统问题排查、投资场景开发、课题立项推进等事项研讨，明确各环节落地路径与要求，内容如下：</w:t>
      </w:r>
    </w:p>
    <w:p w14:paraId="007A0341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一、OA系统与网络问题排查</w:t>
      </w:r>
    </w:p>
    <w:p w14:paraId="5CE7B1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双VPN冲突问题</w:t>
      </w:r>
    </w:p>
    <w:p w14:paraId="06E735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冲突特性：双VPN争夺电脑网络管理权属行业普遍状态，遵循后打开者接管规则，对日常使用无显著影响。</w:t>
      </w:r>
    </w:p>
    <w:p w14:paraId="45F5FB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现存故障：仅存在OA客户端、一体机偶发性网络丢包，客户端首次启动加载慢，VPN连接状态下无法进入客户端。</w:t>
      </w:r>
    </w:p>
    <w:p w14:paraId="4FEB62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处置安排：由现场技术人员会后针对网络冲突问题开展调研，明确双VPN开启的最优操作路径并完成调试。</w:t>
      </w:r>
    </w:p>
    <w:p w14:paraId="03BB1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新老OA切换安排</w:t>
      </w:r>
    </w:p>
    <w:p w14:paraId="16ED7CC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切换现状：当前已全面切换至新OA，新区老OA仅保留办公室收发文、跨委办局发文交互场景，其余内容手动转发至新OA。</w:t>
      </w:r>
    </w:p>
    <w:p w14:paraId="13F573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优化需求：当前老OA到新OA的收文流转为手动操作，明确将自动流转作为后续需求点纳入优化规划。</w:t>
      </w:r>
    </w:p>
    <w:p w14:paraId="24C2A7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保留规则：仅投资计划发请示等少数场景需使用老OA，因此无需强制卸载，仅少数相关用户保留即可。</w:t>
      </w:r>
    </w:p>
    <w:p w14:paraId="67AF0C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种子用户问题排查</w:t>
      </w:r>
    </w:p>
    <w:p w14:paraId="13094F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PC端问题：存在电脑卡顿、客户端启动异常问题，由现场技术人员会后对接排查，定位故障根因。</w:t>
      </w:r>
    </w:p>
    <w:p w14:paraId="3ED6F6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文斌端问题：存在流程操作中途回退问题，已确认是上下文溢出导致，已反馈后端技术完成修复。</w:t>
      </w:r>
    </w:p>
    <w:p w14:paraId="24EE05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网关故障处理：出现会话过期需重复登录的bug，属于已修复问题，由现场技术人员会后为文斌完成处理。</w:t>
      </w:r>
    </w:p>
    <w:p w14:paraId="54DBF7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生产环境OA测试</w:t>
      </w:r>
    </w:p>
    <w:p w14:paraId="0257505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对接进展：已获取正式环境访问地址，当前正在开展表单对接测试，暂未开放流程发起权限。</w:t>
      </w:r>
    </w:p>
    <w:p w14:paraId="3806EA4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试用安排：从本周起正式启动生产环境试用，由种子用户优先开展功能验证，反馈使用问题。</w:t>
      </w:r>
    </w:p>
    <w:p w14:paraId="628701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其他OA事项：user id 相关配置已与范威对接完成，无遗留待办问题。</w:t>
      </w:r>
    </w:p>
    <w:p w14:paraId="7A4B662F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二、差旅报销Agent优化与落地</w:t>
      </w:r>
    </w:p>
    <w:p w14:paraId="2170EA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当前现存问题</w:t>
      </w:r>
    </w:p>
    <w:p w14:paraId="2EEC6F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交互冗余：当前Agent首次使用时需重复问询差旅报销相关问题，用户需多次应答，显著降低填报效率。</w:t>
      </w:r>
    </w:p>
    <w:p w14:paraId="01BD4F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记忆缺陷：当前仅识别当前会话的用户习惯，未接入正式环境历史报销数据，无法自动复用过往填报信息。</w:t>
      </w:r>
    </w:p>
    <w:p w14:paraId="749F2C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核心优化方向</w:t>
      </w:r>
    </w:p>
    <w:p w14:paraId="144FD4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记忆能力升级：明确将用户历史报销数据纳入Agent记忆库，无需用户重复回答同类问题，实现越用越智能。</w:t>
      </w:r>
    </w:p>
    <w:p w14:paraId="2D1B08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体验打磨要求：作为科学园首个落地Agent，需重点打磨交互逻辑，减少人工干预，仅保留最终确认环节。</w:t>
      </w:r>
    </w:p>
    <w:p w14:paraId="61513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后续落地规划</w:t>
      </w:r>
    </w:p>
    <w:p w14:paraId="1EB4CB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测试安排：待历史数据接入完成后，由种子用户开展测试验证，重点校验记忆功能的准确性与稳定性。</w:t>
      </w:r>
    </w:p>
    <w:p w14:paraId="3AA98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场景延伸：确定同步开发差旅申请Agent，与差旅报销流程做前置关联，实现先申请、后报销的全链路联动。</w:t>
      </w:r>
    </w:p>
    <w:p w14:paraId="266F9F11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三、投资场景Agent开发进展</w:t>
      </w:r>
    </w:p>
    <w:p w14:paraId="223B7D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已完成开发成果</w:t>
      </w:r>
    </w:p>
    <w:p w14:paraId="4B9F11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模块覆盖：已完成三个核心模块开发，分别为投资合同审核、项目研判材料自动生成、制式Word文书起草。</w:t>
      </w:r>
    </w:p>
    <w:p w14:paraId="5034BD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功能验证：项目研判模块已对接付费企查查接口，单次调用成本约1-2 元，可自动调取企业工商、股东、股权信息，自动生成调研报告。</w:t>
      </w:r>
    </w:p>
    <w:p w14:paraId="50D1DE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待优化点：当前股权穿透采用表格展示可读性差，后续需调整为树形架构图形式呈现，提升信息可读性。</w:t>
      </w:r>
    </w:p>
    <w:p w14:paraId="5EA4B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数据源对接规划</w:t>
      </w:r>
    </w:p>
    <w:p w14:paraId="636196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现有数据源：当前仅对接企查查公开数据源，可实现公开信息抓取、交叉验证，自动标注信息不一致项供人工审核。</w:t>
      </w:r>
    </w:p>
    <w:p w14:paraId="4BF0AD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成本控制方案：优先复用OA已规划的第三方数据接口，通过本地缓存企业信息的方式减少重复接口调用。</w:t>
      </w:r>
    </w:p>
    <w:p w14:paraId="283846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高成本数据源：万德等专业数据库年采购成本超10 万元，暂不考虑直接采购，优先对接券商研报等低成本数据源。</w:t>
      </w:r>
    </w:p>
    <w:p w14:paraId="72CA80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系统对接安排</w:t>
      </w:r>
    </w:p>
    <w:p w14:paraId="5F3A39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对接对象：后续需对接冯总牵头、中航开发的定制化基金管理平台，该平台当前为外网访问形式，部署于雄安云。</w:t>
      </w:r>
    </w:p>
    <w:p w14:paraId="2A886C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对接需求：仅需开放项目库、专家库、文档库三类查询接口，开发量较小，且平台尚未验收，接口开发无需额外付费。</w:t>
      </w:r>
    </w:p>
    <w:p w14:paraId="2AA042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待确认事项：当前基金管理平台尚未完成备案与域名映射，后续将拉通建设方专项确认网络连通规则。</w:t>
      </w:r>
    </w:p>
    <w:p w14:paraId="2DABD262">
      <w:pPr>
        <w:spacing w:before="120" w:after="120" w:line="288" w:lineRule="auto"/>
        <w:ind w:left="453"/>
        <w:jc w:val="center"/>
      </w:pPr>
    </w:p>
    <w:p w14:paraId="710E4E09">
      <w:pPr>
        <w:spacing w:before="120" w:after="120" w:line="288" w:lineRule="auto"/>
        <w:ind w:left="453"/>
        <w:jc w:val="center"/>
      </w:pPr>
      <w:r>
        <w:drawing>
          <wp:inline distT="0" distB="0" distL="0" distR="0">
            <wp:extent cx="5257800" cy="1129665"/>
            <wp:effectExtent l="0" t="0" r="0" b="0"/>
            <wp:docPr id="3" name="Draw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Drawing 1"/>
                    <pic:cNvPicPr>
                      <a:picLocks noChangeAspect="1"/>
                    </pic:cNvPicPr>
                  </pic:nvPicPr>
                  <pic:blipFill>
                    <a:blip r:embed="rId4"/>
                    <a:srcRect b="66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2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239A4">
      <w:pPr>
        <w:spacing w:before="120" w:after="120" w:line="288" w:lineRule="auto"/>
        <w:ind w:left="453"/>
        <w:jc w:val="center"/>
      </w:pPr>
      <w:r>
        <w:rPr>
          <w:rFonts w:ascii="Arial" w:hAnsi="Arial" w:eastAsia="等线" w:cs="Arial"/>
          <w:color w:val="8F959E"/>
          <w:sz w:val="22"/>
        </w:rPr>
        <w:t>投资场景Agent核心模块开发进展</w:t>
      </w:r>
      <w:r>
        <w:rPr>
          <w:rFonts w:ascii="Arial" w:hAnsi="Arial" w:eastAsia="等线" w:cs="Arial"/>
          <w:color w:val="8F959E"/>
          <w:sz w:val="22"/>
        </w:rPr>
        <w:br w:type="textWrapping"/>
      </w:r>
    </w:p>
    <w:p w14:paraId="37657081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四、课题立项与算力保障安排</w:t>
      </w:r>
    </w:p>
    <w:p w14:paraId="0A97E3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立项预算调整</w:t>
      </w:r>
    </w:p>
    <w:p w14:paraId="08F3F2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预算规模：确定本级课题立项总预算为400 万元，其中科源公司承担300 万元，华清以技术人力折算承担100 万元。</w:t>
      </w:r>
    </w:p>
    <w:p w14:paraId="5730AE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调整原因：将原规划的满负载算力预算下调，优先走通核心功能再逐步扩容，避免预算超500 万触发董事会审批要求，新区课题自筹资金无需与本级成本一一映射。</w:t>
      </w:r>
    </w:p>
    <w:p w14:paraId="03C35A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材料要求：需补充完整的预算核算支撑材料，作为附件随白头请示一并提交，确保预算条目颗粒度清晰。</w:t>
      </w:r>
    </w:p>
    <w:p w14:paraId="2C2279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算力与上线节奏</w:t>
      </w:r>
    </w:p>
    <w:p w14:paraId="59C45E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算力配置：已超前采购新增服务器，预计下周一周二到货调试，两台服务器合计可支撑10-12 人并发，开放约50-60 个试用账号。</w:t>
      </w:r>
    </w:p>
    <w:p w14:paraId="44C093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上线节点：原计划7 月 24 日完成功能开发，当前已完成生产环境切换，待算力调试完成后逐步扩大试用规模，暂不全面推广。</w:t>
      </w:r>
    </w:p>
    <w:p w14:paraId="147CE0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其他采购：规划采购方舟跃迁的智能体安全服务、洞见的数据库加密服务，相关成本后续通过新区课题自筹资金覆盖。</w:t>
      </w:r>
    </w:p>
    <w:p w14:paraId="1A37EF68">
      <w:pPr>
        <w:numPr>
          <w:numId w:val="0"/>
        </w:numPr>
        <w:spacing w:before="120" w:after="120" w:line="288" w:lineRule="auto"/>
        <w:jc w:val="left"/>
      </w:pPr>
    </w:p>
    <w:p w14:paraId="48E61566">
      <w:pPr>
        <w:numPr>
          <w:numId w:val="0"/>
        </w:numPr>
        <w:spacing w:before="120" w:after="120" w:line="288" w:lineRule="auto"/>
        <w:jc w:val="center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752475</wp:posOffset>
            </wp:positionH>
            <wp:positionV relativeFrom="paragraph">
              <wp:posOffset>6985</wp:posOffset>
            </wp:positionV>
            <wp:extent cx="4257675" cy="1117600"/>
            <wp:effectExtent l="0" t="0" r="9525" b="6350"/>
            <wp:wrapTopAndBottom/>
            <wp:docPr id="4" name="Draw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Drawing 2"/>
                    <pic:cNvPicPr>
                      <a:picLocks noChangeAspect="1"/>
                    </pic:cNvPicPr>
                  </pic:nvPicPr>
                  <pic:blipFill>
                    <a:blip r:embed="rId5"/>
                    <a:srcRect t="3704" b="9383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117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等线" w:cs="Arial"/>
          <w:color w:val="8F959E"/>
          <w:sz w:val="22"/>
        </w:rPr>
        <w:t>智能体项目落地里程碑</w:t>
      </w:r>
    </w:p>
    <w:p w14:paraId="161BB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2" w:firstLineChars="200"/>
        <w:textAlignment w:val="auto"/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b/>
          <w:bCs/>
          <w:kern w:val="2"/>
          <w:sz w:val="28"/>
          <w:lang w:val="en-US" w:eastAsia="zh-CN" w:bidi="ar-SA"/>
        </w:rPr>
        <w:t>遗留待办事项</w:t>
      </w:r>
    </w:p>
    <w:p w14:paraId="4B7AAC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接口优化：发票销项上传接口需首次手动激活后方可使用，需技术团队评估开发改造成本后推进优化。</w:t>
      </w:r>
    </w:p>
    <w:p w14:paraId="20C569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560" w:firstLineChars="20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需求调研：待当前核心场景打磨完成后，再启动其他业务部门的Agent需求调研，逐步拓展落地场景。</w:t>
      </w:r>
    </w:p>
    <w:p w14:paraId="7BDA96D2">
      <w:pPr>
        <w:spacing w:before="120" w:after="120" w:line="288" w:lineRule="auto"/>
        <w:ind w:left="0"/>
        <w:jc w:val="left"/>
      </w:pPr>
    </w:p>
    <w:p w14:paraId="0E850FC4">
      <w:pPr>
        <w:spacing w:before="380" w:after="140" w:line="288" w:lineRule="auto"/>
        <w:ind w:left="0"/>
        <w:jc w:val="left"/>
        <w:outlineLvl w:val="0"/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</w:pPr>
      <w:bookmarkStart w:id="0" w:name="heading_1"/>
      <w:r>
        <w:rPr>
          <w:rFonts w:hint="eastAsia" w:ascii="方正公文仿宋" w:hAnsi="方正公文仿宋" w:eastAsia="方正公文仿宋" w:cs="方正公文仿宋"/>
          <w:b/>
          <w:sz w:val="28"/>
          <w:szCs w:val="28"/>
          <w:lang w:val="en-US" w:eastAsia="zh-CN"/>
        </w:rPr>
        <w:t>待办</w:t>
      </w:r>
      <w:bookmarkEnd w:id="0"/>
    </w:p>
    <w:p w14:paraId="668DDF55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设备问题排查：配合技术人员排查思齐电脑运行缓慢的原因，同步调研网络相关问题，明确问题根因</w:t>
      </w:r>
    </w:p>
    <w:p w14:paraId="435E377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报销逻辑优化：接入生产环境历史报销数据，将历史报销经验纳入系统记忆环节，减少用户与 agent 的交互，提升助手使用体验</w:t>
      </w:r>
    </w:p>
    <w:p w14:paraId="564932E0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接口落地沟通：结合 OA 可接入第三方数据平台的特性，对接周</w:t>
      </w:r>
      <w:bookmarkStart w:id="1" w:name="_GoBack"/>
      <w:bookmarkEnd w:id="1"/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 xml:space="preserve">晨沟通企查查接口落地相关事宜 </w:t>
      </w:r>
    </w:p>
    <w:p w14:paraId="7407179B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杨涛对接跟进：对接杨涛，沟通基金管理平台相关的证书放置及双方网络互通问题</w:t>
      </w:r>
    </w:p>
    <w:p w14:paraId="66DE18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字段差异沟通：针对切换至正式环境后，差旅报销字段在正式环境与测试环境存在不一致的问题，与相关同事开展沟通确认</w:t>
      </w:r>
    </w:p>
    <w:p w14:paraId="050455BA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试用问题排查：针对思齐提出的试用无法正常使用的问题，结合正式环境、生产环境与测试环境字段不一致的背景开展排查处理</w:t>
      </w:r>
    </w:p>
    <w:p w14:paraId="1356F04C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ind w:left="420" w:leftChars="0" w:hanging="420" w:firstLineChars="0"/>
        <w:textAlignment w:val="auto"/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</w:pPr>
      <w:r>
        <w:rPr>
          <w:rFonts w:hint="eastAsia" w:ascii="方正公文仿宋" w:hAnsi="方正公文仿宋" w:eastAsia="方正公文仿宋" w:cs="方正公文仿宋"/>
          <w:kern w:val="2"/>
          <w:sz w:val="28"/>
          <w:lang w:val="en-US" w:eastAsia="zh-CN" w:bidi="ar-SA"/>
        </w:rPr>
        <w:t>接口问题评估：针对发票上传接口需手动激活一次后方可上传的问题，先与相关人员核对身份 token 相关内容，再评估该问题的修改可行性、成本及开发量</w:t>
      </w:r>
    </w:p>
    <w:p w14:paraId="30598768"/>
    <w:p w14:paraId="35D95E4A">
      <w:r>
        <w:drawing>
          <wp:inline distT="0" distB="0" distL="114300" distR="114300">
            <wp:extent cx="5266690" cy="334200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rcRect b="376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公文仿宋">
    <w:altName w:val="仿宋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11A5065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11AC4C4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FZDocFangSong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7CBE3E"/>
    <w:multiLevelType w:val="singleLevel"/>
    <w:tmpl w:val="0E7CBE3E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086457D"/>
    <w:rsid w:val="11E04F80"/>
    <w:rsid w:val="2AD20001"/>
    <w:rsid w:val="56CA5FF0"/>
    <w:rsid w:val="57241ABE"/>
    <w:rsid w:val="702B7E17"/>
    <w:rsid w:val="7146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2354</Words>
  <Characters>2463</Characters>
  <Lines>0</Lines>
  <Paragraphs>0</Paragraphs>
  <TotalTime>8</TotalTime>
  <ScaleCrop>false</ScaleCrop>
  <LinksUpToDate>false</LinksUpToDate>
  <CharactersWithSpaces>2484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2026-07-10T01:32:00Z</dcterms:created>
  <dc:creator>zhang</dc:creator>
  <cp:lastModifiedBy>飘</cp:lastModifiedBy>
  <dcterms:modified xsi:type="dcterms:W3CDTF">2026-07-28T08:23:59Z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eyJoZGlkIjoiZDM3NDU0MWUxNzFlZDhiNjZmZmFjYzQ4NDQ2ZjdiMzUiLCJ1c2VySWQiOiIzMzIzNzMwNzMifQ==</vt:lpwstr>
  </property>
  <property fmtid="{D5CDD505-2E9C-101B-9397-08002B2CF9AE}" pid="4" name="ICV">
    <vt:lpwstr>9FB0E27DBFD44007A356BBC06D171BFB_13</vt:lpwstr>
  </property>
</Properties>
</file>