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E0A33">
      <w:pPr>
        <w:numPr>
          <w:ilvl w:val="0"/>
          <w:numId w:val="0"/>
        </w:numPr>
        <w:ind w:left="420" w:leftChars="0"/>
        <w:jc w:val="center"/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  <w:t>雄安科学园信息化咨询顶层设计</w:t>
      </w:r>
    </w:p>
    <w:p w14:paraId="19B9FE15">
      <w:pPr>
        <w:numPr>
          <w:ilvl w:val="0"/>
          <w:numId w:val="0"/>
        </w:numPr>
        <w:ind w:left="420" w:leftChars="0"/>
        <w:jc w:val="center"/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  <w:t>及全过程顾问咨询项目</w:t>
      </w:r>
    </w:p>
    <w:p w14:paraId="2A27266E">
      <w:pPr>
        <w:numPr>
          <w:ilvl w:val="0"/>
          <w:numId w:val="0"/>
        </w:numPr>
        <w:ind w:left="420" w:leftChars="0"/>
        <w:jc w:val="center"/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  <w:t>AGENT周例会会议纪要</w:t>
      </w:r>
    </w:p>
    <w:p w14:paraId="02AA28BB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lang w:val="en-US" w:eastAsia="zh-CN"/>
        </w:rPr>
      </w:pPr>
    </w:p>
    <w:p w14:paraId="360C1B72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会议时间：2026年7月28日14:30-15:30</w:t>
      </w:r>
    </w:p>
    <w:p w14:paraId="1C0B90F3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会议地点：雄安科创中心C栋2楼</w:t>
      </w:r>
    </w:p>
    <w:p w14:paraId="6F8C666E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参会人员：</w:t>
      </w:r>
    </w:p>
    <w:p w14:paraId="27610A86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卢肖、武文斌、尹曼莉、王思齐、张紫科</w:t>
      </w:r>
    </w:p>
    <w:p w14:paraId="4293F1E0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唐玉伟、马怡帅</w:t>
      </w:r>
    </w:p>
    <w:p w14:paraId="4825C57D">
      <w:pPr>
        <w:numPr>
          <w:ilvl w:val="0"/>
          <w:numId w:val="0"/>
        </w:numPr>
        <w:ind w:left="420" w:leftChars="0"/>
        <w:rPr>
          <w:rFonts w:hint="default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曹彦宾、柴立身、孙天天、刘军</w:t>
      </w:r>
    </w:p>
    <w:p w14:paraId="15BEFD82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会议主要内容：</w:t>
      </w:r>
    </w:p>
    <w:p w14:paraId="09068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本次会议为第五次周例会</w:t>
      </w:r>
      <w:bookmarkStart w:id="0" w:name="_GoBack"/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，本次会议主要围</w:t>
      </w:r>
      <w:bookmarkEnd w:id="0"/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绕复盘前期遗留问题、明确各模块落地规则与跨云网络解决方案，内容如下：</w:t>
      </w:r>
    </w:p>
    <w:p w14:paraId="3CF03453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一、跨云网络与VPN适配问题</w:t>
      </w:r>
    </w:p>
    <w:p w14:paraId="7224D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双VPN冲突解决方案</w:t>
      </w:r>
    </w:p>
    <w:p w14:paraId="429E58FE">
      <w:pPr>
        <w:numPr>
          <w:ilvl w:val="0"/>
          <w:numId w:val="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操作顺序规范：明确需先启动深信服 Easy Connect，再连接联通云 VPN，即可解决双 VPN 冲突问题，无其他额外操作要求。</w:t>
      </w:r>
    </w:p>
    <w:p w14:paraId="0506B505">
      <w:pPr>
        <w:numPr>
          <w:ilvl w:val="0"/>
          <w:numId w:val="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设备适配说明：Mac 设备使用 VPN 时优先选择联通网络，电信、移动网络的适配稳定性相对较差，易出现网络异常。</w:t>
      </w:r>
    </w:p>
    <w:p w14:paraId="0B4253BF">
      <w:pPr>
        <w:spacing w:before="120" w:after="120" w:line="288" w:lineRule="auto"/>
        <w:ind w:left="1360"/>
        <w:jc w:val="center"/>
        <w:rPr>
          <w:rFonts w:hint="eastAsia" w:ascii="方正公文仿宋" w:hAnsi="方正公文仿宋" w:eastAsia="方正公文仿宋" w:cs="方正公文仿宋"/>
        </w:rPr>
      </w:pPr>
    </w:p>
    <w:p w14:paraId="74CD8815">
      <w:pPr>
        <w:spacing w:before="120" w:after="120" w:line="288" w:lineRule="auto"/>
        <w:ind w:left="1360"/>
        <w:jc w:val="center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</w:rPr>
        <w:drawing>
          <wp:inline distT="0" distB="0" distL="0" distR="0">
            <wp:extent cx="5257800" cy="1370965"/>
            <wp:effectExtent l="0" t="0" r="0" b="0"/>
            <wp:docPr id="1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1"/>
                    <pic:cNvPicPr>
                      <a:picLocks noChangeAspect="1"/>
                    </pic:cNvPicPr>
                  </pic:nvPicPr>
                  <pic:blipFill>
                    <a:blip r:embed="rId4"/>
                    <a:srcRect b="947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0EC7">
      <w:pPr>
        <w:spacing w:before="120" w:after="120" w:line="288" w:lineRule="auto"/>
        <w:ind w:left="1360"/>
        <w:jc w:val="center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color w:val="8F959E"/>
          <w:sz w:val="22"/>
        </w:rPr>
        <w:t>双VPN冲突标准解决流程</w:t>
      </w:r>
      <w:r>
        <w:rPr>
          <w:rFonts w:hint="eastAsia" w:ascii="方正公文仿宋" w:hAnsi="方正公文仿宋" w:eastAsia="方正公文仿宋" w:cs="方正公文仿宋"/>
          <w:color w:val="8F959E"/>
          <w:sz w:val="22"/>
        </w:rPr>
        <w:br w:type="textWrapping"/>
      </w:r>
    </w:p>
    <w:p w14:paraId="1CBCC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多云资源现状梳理</w:t>
      </w:r>
    </w:p>
    <w:p w14:paraId="4DBB7A33">
      <w:pPr>
        <w:numPr>
          <w:ilvl w:val="0"/>
          <w:numId w:val="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云资源盘点：当前项目已涉及 4 朵独立云资源，分别为新区政务云、联通云、雄安云、阿里云，无前期统一统筹规划。</w:t>
      </w:r>
    </w:p>
    <w:p w14:paraId="0E377C3C">
      <w:pPr>
        <w:numPr>
          <w:ilvl w:val="0"/>
          <w:numId w:val="4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财务系统协调：财务系统当前尚未启动部署，可协调文熙、白静迪推动其优先部署至联通云，避免新增 VPN 增加运维复杂度。</w:t>
      </w:r>
    </w:p>
    <w:p w14:paraId="1452D5D8">
      <w:pPr>
        <w:spacing w:before="120" w:after="120" w:line="288" w:lineRule="auto"/>
        <w:ind w:left="453"/>
        <w:jc w:val="center"/>
        <w:rPr>
          <w:rFonts w:hint="eastAsia" w:ascii="方正公文仿宋" w:hAnsi="方正公文仿宋" w:eastAsia="方正公文仿宋" w:cs="方正公文仿宋"/>
        </w:rPr>
      </w:pPr>
    </w:p>
    <w:p w14:paraId="27E6FC8E">
      <w:pPr>
        <w:spacing w:before="120" w:after="120" w:line="288" w:lineRule="auto"/>
        <w:ind w:left="453"/>
        <w:jc w:val="center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</w:rPr>
        <w:drawing>
          <wp:inline distT="0" distB="0" distL="0" distR="0">
            <wp:extent cx="5257800" cy="3002280"/>
            <wp:effectExtent l="0" t="0" r="0" b="0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5"/>
                    <a:srcRect b="756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D338">
      <w:pPr>
        <w:spacing w:before="120" w:after="120" w:line="288" w:lineRule="auto"/>
        <w:ind w:left="453"/>
        <w:jc w:val="center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color w:val="8F959E"/>
          <w:sz w:val="22"/>
        </w:rPr>
        <w:t>项目涉及多云资源现状梳理</w:t>
      </w:r>
      <w:r>
        <w:rPr>
          <w:rFonts w:hint="eastAsia" w:ascii="方正公文仿宋" w:hAnsi="方正公文仿宋" w:eastAsia="方正公文仿宋" w:cs="方正公文仿宋"/>
          <w:color w:val="8F959E"/>
          <w:sz w:val="22"/>
        </w:rPr>
        <w:br w:type="textWrapping"/>
      </w:r>
    </w:p>
    <w:p w14:paraId="3B529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异构云访问方案要求</w:t>
      </w:r>
    </w:p>
    <w:p w14:paraId="3512910E">
      <w:pPr>
        <w:numPr>
          <w:ilvl w:val="0"/>
          <w:numId w:val="5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方案输出主体：明确由联通侧基于云盾网关输出跨四云路由方案，避免内部服务器直接暴露于公网，降低安全风险。</w:t>
      </w:r>
    </w:p>
    <w:p w14:paraId="3ABF1F24">
      <w:pPr>
        <w:numPr>
          <w:ilvl w:val="0"/>
          <w:numId w:val="6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时间节点要求：该方案需于本周五前完成输出，由张紫科全程对接跟进，确保方案符合现有网络架构的安全要求。</w:t>
      </w:r>
    </w:p>
    <w:p w14:paraId="6C41CB1C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差旅报销智能体模块进展</w:t>
      </w:r>
    </w:p>
    <w:p w14:paraId="244806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算力资源配置安排</w:t>
      </w:r>
    </w:p>
    <w:p w14:paraId="3185EC7E">
      <w:pPr>
        <w:numPr>
          <w:ilvl w:val="0"/>
          <w:numId w:val="7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服务器部署计划：新增 Pro 6000 服务器已到货，本周五前完成部署，两台服务器合计可承载 50 名用户错峰使用。</w:t>
      </w:r>
    </w:p>
    <w:p w14:paraId="14A97172">
      <w:pPr>
        <w:numPr>
          <w:ilvl w:val="0"/>
          <w:numId w:val="8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并发能力说明：两台服务器合计支持 15 个并发请求，可覆盖差旅、报销等全类智能体的当前使用需求，无需额外扩容。</w:t>
      </w:r>
    </w:p>
    <w:p w14:paraId="38320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功能迭代优化方向</w:t>
      </w:r>
    </w:p>
    <w:p w14:paraId="77859092">
      <w:pPr>
        <w:numPr>
          <w:ilvl w:val="0"/>
          <w:numId w:val="9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地址映射优化：需对接思琪、文斌获取更多历史报销实例，完成雄安新区与周边站点的地址映射，提升目的地识别准确率。</w:t>
      </w:r>
    </w:p>
    <w:p w14:paraId="788340F6">
      <w:pPr>
        <w:numPr>
          <w:ilvl w:val="0"/>
          <w:numId w:val="10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历史问题修复：此前思琪反馈的客户端异常、UserID 相关问题已完成修复，当前生产环境可正常发起全流程操作，仅存少量偶发异常待优化。</w:t>
      </w:r>
    </w:p>
    <w:p w14:paraId="3CEF6245">
      <w:pPr>
        <w:numPr>
          <w:ilvl w:val="0"/>
          <w:numId w:val="1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优先级调整要求：暂停差旅申请模块的开发工作，集中资源打磨差旅报销模块的稳定性，优先解决现有用户反馈的各类异常问题。</w:t>
      </w:r>
    </w:p>
    <w:p w14:paraId="52827F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身份绑定方案调整</w:t>
      </w:r>
    </w:p>
    <w:p w14:paraId="2357A849">
      <w:pPr>
        <w:numPr>
          <w:ilvl w:val="0"/>
          <w:numId w:val="1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方案选型决策：放弃原计划 2-3 周的全局统一身份认证方案，当前已明确组织架构主数据来源于 OA 系统，无需等待统一身份认证落地。</w:t>
      </w:r>
    </w:p>
    <w:p w14:paraId="41160C2C">
      <w:pPr>
        <w:numPr>
          <w:ilvl w:val="0"/>
          <w:numId w:val="1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落地时间要求：该轻量身份绑定方案需于下周内完成落地，可减少用户首次使用时的手动信息录入操作，降低使用门槛。</w:t>
      </w:r>
    </w:p>
    <w:p w14:paraId="4B2CFD2C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投资管理系统智能体进展</w:t>
      </w:r>
    </w:p>
    <w:p w14:paraId="66950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种子用户测试反馈</w:t>
      </w:r>
    </w:p>
    <w:p w14:paraId="0FC2469F">
      <w:pPr>
        <w:numPr>
          <w:ilvl w:val="0"/>
          <w:numId w:val="14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已暴露问题：已完成 3 名种子用户部署，当前暴露上下文溢出、Skills 触发规则不明确、无固定报告模板等核心问题。</w:t>
      </w:r>
    </w:p>
    <w:p w14:paraId="71468D00">
      <w:pPr>
        <w:numPr>
          <w:ilvl w:val="0"/>
          <w:numId w:val="15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交互路径优化：明确需同时保留开放式提问与固定模板输出两条交互路径，满足不同场景下的报告生成需求。</w:t>
      </w:r>
    </w:p>
    <w:p w14:paraId="5653B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数据源成本与安全优化</w:t>
      </w:r>
    </w:p>
    <w:p w14:paraId="6DE61568">
      <w:pPr>
        <w:numPr>
          <w:ilvl w:val="0"/>
          <w:numId w:val="16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接口成本优化：放弃单次调用成本 1-2 元的临时企查查接口，复用现有 OA、资管系统的聚合数据源，成本可降至 0.04 元/次以内。</w:t>
      </w:r>
    </w:p>
    <w:p w14:paraId="723B92E8">
      <w:pPr>
        <w:numPr>
          <w:ilvl w:val="0"/>
          <w:numId w:val="17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访问方案调整：放弃无差别全网爬取方案，对接产业通等专业产业链数据服务商，避免无意义的外网访问与安全风险。</w:t>
      </w:r>
    </w:p>
    <w:p w14:paraId="40B331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系统对接相关安排</w:t>
      </w:r>
    </w:p>
    <w:p w14:paraId="203CF769">
      <w:pPr>
        <w:numPr>
          <w:ilvl w:val="0"/>
          <w:numId w:val="18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模板数据获取：优先基于华清智研内部流程文档、模板完成功能开发，涉密项目数据暂不对外提供，待后续权限开放后再微调。</w:t>
      </w:r>
    </w:p>
    <w:p w14:paraId="2C9075B2">
      <w:pPr>
        <w:numPr>
          <w:ilvl w:val="0"/>
          <w:numId w:val="19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厂商对接机制：投资管理系统为上海厂商定制开发，当前尚未完成开发，后续相关议题邀请厂商参与线上会议提升对接效率。</w:t>
      </w:r>
    </w:p>
    <w:p w14:paraId="014301C4">
      <w:pPr>
        <w:numPr>
          <w:ilvl w:val="0"/>
          <w:numId w:val="20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对接进度跟进：雄安云相关证书、配置信息已同步至厂商，当前厂商进度较慢，后续将通过线上远程指导的方式协助完成配置打通。</w:t>
      </w:r>
    </w:p>
    <w:p w14:paraId="5910E3F3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项目管理机制优化</w:t>
      </w:r>
    </w:p>
    <w:p w14:paraId="5607D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全周期问题台账机制</w:t>
      </w:r>
    </w:p>
    <w:p w14:paraId="43855D4F">
      <w:pPr>
        <w:numPr>
          <w:ilvl w:val="0"/>
          <w:numId w:val="21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台账搭建要求：由张紫科梳理前 5 次周例会的全量问题，形成带状态颜色标记的共享台账，明确问题的提出与解决节点。</w:t>
      </w:r>
    </w:p>
    <w:p w14:paraId="3823A0DF">
      <w:pPr>
        <w:numPr>
          <w:ilvl w:val="0"/>
          <w:numId w:val="22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共享与填报规则：台账上传至“华清智研 OA 对接群”，所有相关人员可直接填报问题并附截图，便于全团队同步进度。</w:t>
      </w:r>
    </w:p>
    <w:p w14:paraId="5F3AAA93">
      <w:pPr>
        <w:spacing w:before="120" w:after="120" w:line="288" w:lineRule="auto"/>
        <w:ind w:left="453"/>
        <w:jc w:val="center"/>
        <w:rPr>
          <w:rFonts w:hint="eastAsia" w:ascii="方正公文仿宋" w:hAnsi="方正公文仿宋" w:eastAsia="方正公文仿宋" w:cs="方正公文仿宋"/>
        </w:rPr>
      </w:pPr>
    </w:p>
    <w:p w14:paraId="415E82FD">
      <w:pPr>
        <w:spacing w:before="120" w:after="120" w:line="288" w:lineRule="auto"/>
        <w:ind w:left="453"/>
        <w:jc w:val="center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</w:rPr>
        <w:drawing>
          <wp:inline distT="0" distB="0" distL="0" distR="0">
            <wp:extent cx="5257800" cy="2144395"/>
            <wp:effectExtent l="0" t="0" r="0" b="0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6"/>
                    <a:srcRect b="735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CB6DB">
      <w:pPr>
        <w:spacing w:before="120" w:after="120" w:line="288" w:lineRule="auto"/>
        <w:ind w:left="453"/>
        <w:jc w:val="center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color w:val="8F959E"/>
          <w:sz w:val="22"/>
        </w:rPr>
        <w:t>项目核心待办事项汇总</w:t>
      </w:r>
      <w:r>
        <w:rPr>
          <w:rFonts w:hint="eastAsia" w:ascii="方正公文仿宋" w:hAnsi="方正公文仿宋" w:eastAsia="方正公文仿宋" w:cs="方正公文仿宋"/>
          <w:color w:val="8F959E"/>
          <w:sz w:val="22"/>
        </w:rPr>
        <w:br w:type="textWrapping"/>
      </w:r>
    </w:p>
    <w:p w14:paraId="14539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驻场与资源协调</w:t>
      </w:r>
    </w:p>
    <w:p w14:paraId="1622DEC0">
      <w:pPr>
        <w:numPr>
          <w:ilvl w:val="0"/>
          <w:numId w:val="23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驻场人员安排：项目方派驻 1 名技术人员驻场，由相关负责人同步曹总、李强总协调资源，工位已提前预留。</w:t>
      </w:r>
    </w:p>
    <w:p w14:paraId="7DC647D5">
      <w:pPr>
        <w:numPr>
          <w:ilvl w:val="0"/>
          <w:numId w:val="24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驻场价值说明：驻场可实现需求的快速碰撞与问题的即时响应，加快核心问题的解决效率，匹配领导对项目落地的进度要求。</w:t>
      </w:r>
    </w:p>
    <w:p w14:paraId="51947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1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核心事项跟进要求</w:t>
      </w:r>
    </w:p>
    <w:p w14:paraId="51D7F12A">
      <w:pPr>
        <w:numPr>
          <w:ilvl w:val="0"/>
          <w:numId w:val="25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API 接口跟进：手动激活 API 接口需求已于上周提交至总部评估，要求本周五前必须反馈明确的开发周期，不得持续拖延。</w:t>
      </w:r>
    </w:p>
    <w:p w14:paraId="535F20AB">
      <w:pPr>
        <w:numPr>
          <w:ilvl w:val="0"/>
          <w:numId w:val="26"/>
        </w:numPr>
        <w:spacing w:before="120" w:after="120" w:line="288" w:lineRule="auto"/>
        <w:ind w:left="907"/>
        <w:jc w:val="left"/>
        <w:rPr>
          <w:rFonts w:hint="eastAsia" w:ascii="方正公文仿宋" w:hAnsi="方正公文仿宋" w:eastAsia="方正公文仿宋" w:cs="方正公文仿宋"/>
        </w:rPr>
      </w:pPr>
      <w:r>
        <w:rPr>
          <w:rFonts w:hint="eastAsia" w:ascii="方正公文仿宋" w:hAnsi="方正公文仿宋" w:eastAsia="方正公文仿宋" w:cs="方正公文仿宋"/>
          <w:sz w:val="22"/>
        </w:rPr>
        <w:t>Skills 规则公示：已封装完成的 Skills 需对外公示明确的触发关键词，避免用户因不了解功能入口导致的功能使用率偏低问题。</w:t>
      </w:r>
    </w:p>
    <w:p w14:paraId="35D95E4A">
      <w:pPr>
        <w:rPr>
          <w:rFonts w:hint="eastAsia" w:ascii="方正公文仿宋" w:hAnsi="方正公文仿宋" w:eastAsia="方正公文仿宋" w:cs="方正公文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1" w:fontKey="{5839A7C2-5E1E-4731-A1D5-4F5000C2B4FC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KSOFE11A506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11AC4C4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singleLevel"/>
    <w:tmpl w:val="8461FADE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">
    <w:nsid w:val="91995D4F"/>
    <w:multiLevelType w:val="singleLevel"/>
    <w:tmpl w:val="91995D4F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">
    <w:nsid w:val="9239341B"/>
    <w:multiLevelType w:val="singleLevel"/>
    <w:tmpl w:val="9239341B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">
    <w:nsid w:val="B0F1ACD9"/>
    <w:multiLevelType w:val="singleLevel"/>
    <w:tmpl w:val="B0F1ACD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">
    <w:nsid w:val="BB64CFA9"/>
    <w:multiLevelType w:val="singleLevel"/>
    <w:tmpl w:val="BB64CFA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5">
    <w:nsid w:val="BE923771"/>
    <w:multiLevelType w:val="singleLevel"/>
    <w:tmpl w:val="BE923771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">
    <w:nsid w:val="BF205925"/>
    <w:multiLevelType w:val="singleLevel"/>
    <w:tmpl w:val="BF20592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7">
    <w:nsid w:val="C8879AEF"/>
    <w:multiLevelType w:val="singleLevel"/>
    <w:tmpl w:val="C8879AEF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8">
    <w:nsid w:val="D7F9FE59"/>
    <w:multiLevelType w:val="singleLevel"/>
    <w:tmpl w:val="D7F9FE5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9">
    <w:nsid w:val="DCBA6B53"/>
    <w:multiLevelType w:val="singleLevel"/>
    <w:tmpl w:val="DCBA6B53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0">
    <w:nsid w:val="E093A4B0"/>
    <w:multiLevelType w:val="singleLevel"/>
    <w:tmpl w:val="E093A4B0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1">
    <w:nsid w:val="0248C179"/>
    <w:multiLevelType w:val="singleLevel"/>
    <w:tmpl w:val="0248C17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2">
    <w:nsid w:val="03D62ECE"/>
    <w:multiLevelType w:val="singleLevel"/>
    <w:tmpl w:val="03D62ECE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3">
    <w:nsid w:val="243FCF68"/>
    <w:multiLevelType w:val="singleLevel"/>
    <w:tmpl w:val="243FCF68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4">
    <w:nsid w:val="2470EC97"/>
    <w:multiLevelType w:val="singleLevel"/>
    <w:tmpl w:val="2470EC97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5">
    <w:nsid w:val="25B654F3"/>
    <w:multiLevelType w:val="singleLevel"/>
    <w:tmpl w:val="25B654F3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6">
    <w:nsid w:val="30FC5B15"/>
    <w:multiLevelType w:val="singleLevel"/>
    <w:tmpl w:val="30FC5B1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7">
    <w:nsid w:val="39A0D9AC"/>
    <w:multiLevelType w:val="singleLevel"/>
    <w:tmpl w:val="39A0D9AC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8">
    <w:nsid w:val="4C1BAE26"/>
    <w:multiLevelType w:val="singleLevel"/>
    <w:tmpl w:val="4C1BAE2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9">
    <w:nsid w:val="4D4DC07F"/>
    <w:multiLevelType w:val="singleLevel"/>
    <w:tmpl w:val="4D4DC07F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0">
    <w:nsid w:val="4D94DA66"/>
    <w:multiLevelType w:val="singleLevel"/>
    <w:tmpl w:val="4D94DA6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1">
    <w:nsid w:val="58765686"/>
    <w:multiLevelType w:val="singleLevel"/>
    <w:tmpl w:val="5876568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2">
    <w:nsid w:val="59ADCABA"/>
    <w:multiLevelType w:val="singleLevel"/>
    <w:tmpl w:val="59ADCABA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3">
    <w:nsid w:val="60382F6E"/>
    <w:multiLevelType w:val="singleLevel"/>
    <w:tmpl w:val="60382F6E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4">
    <w:nsid w:val="629F7852"/>
    <w:multiLevelType w:val="singleLevel"/>
    <w:tmpl w:val="629F7852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5">
    <w:nsid w:val="7C246926"/>
    <w:multiLevelType w:val="singleLevel"/>
    <w:tmpl w:val="7C24692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num w:numId="1">
    <w:abstractNumId w:val="22"/>
  </w:num>
  <w:num w:numId="2">
    <w:abstractNumId w:val="6"/>
  </w:num>
  <w:num w:numId="3">
    <w:abstractNumId w:val="12"/>
  </w:num>
  <w:num w:numId="4">
    <w:abstractNumId w:val="15"/>
  </w:num>
  <w:num w:numId="5">
    <w:abstractNumId w:val="11"/>
  </w:num>
  <w:num w:numId="6">
    <w:abstractNumId w:val="2"/>
  </w:num>
  <w:num w:numId="7">
    <w:abstractNumId w:val="7"/>
  </w:num>
  <w:num w:numId="8">
    <w:abstractNumId w:val="19"/>
  </w:num>
  <w:num w:numId="9">
    <w:abstractNumId w:val="14"/>
  </w:num>
  <w:num w:numId="10">
    <w:abstractNumId w:val="9"/>
  </w:num>
  <w:num w:numId="11">
    <w:abstractNumId w:val="8"/>
  </w:num>
  <w:num w:numId="12">
    <w:abstractNumId w:val="18"/>
  </w:num>
  <w:num w:numId="13">
    <w:abstractNumId w:val="23"/>
  </w:num>
  <w:num w:numId="14">
    <w:abstractNumId w:val="3"/>
  </w:num>
  <w:num w:numId="15">
    <w:abstractNumId w:val="25"/>
  </w:num>
  <w:num w:numId="16">
    <w:abstractNumId w:val="5"/>
  </w:num>
  <w:num w:numId="17">
    <w:abstractNumId w:val="24"/>
  </w:num>
  <w:num w:numId="18">
    <w:abstractNumId w:val="17"/>
  </w:num>
  <w:num w:numId="19">
    <w:abstractNumId w:val="0"/>
  </w:num>
  <w:num w:numId="20">
    <w:abstractNumId w:val="21"/>
  </w:num>
  <w:num w:numId="21">
    <w:abstractNumId w:val="13"/>
  </w:num>
  <w:num w:numId="22">
    <w:abstractNumId w:val="20"/>
  </w:num>
  <w:num w:numId="23">
    <w:abstractNumId w:val="10"/>
  </w:num>
  <w:num w:numId="24">
    <w:abstractNumId w:val="16"/>
  </w:num>
  <w:num w:numId="25">
    <w:abstractNumId w:val="4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86457D"/>
    <w:rsid w:val="11E04F80"/>
    <w:rsid w:val="2AD20001"/>
    <w:rsid w:val="56CA5FF0"/>
    <w:rsid w:val="57241ABE"/>
    <w:rsid w:val="5CED2A90"/>
    <w:rsid w:val="702B7E17"/>
    <w:rsid w:val="7146333E"/>
    <w:rsid w:val="7185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2354</Words>
  <Characters>2463</Characters>
  <Lines>0</Lines>
  <Paragraphs>0</Paragraphs>
  <TotalTime>7</TotalTime>
  <ScaleCrop>false</ScaleCrop>
  <LinksUpToDate>false</LinksUpToDate>
  <CharactersWithSpaces>2484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2026-07-10T01:32:00Z</dcterms:created>
  <dc:creator>zhang</dc:creator>
  <cp:lastModifiedBy>飘</cp:lastModifiedBy>
  <dcterms:modified xsi:type="dcterms:W3CDTF">2026-08-04T07:43:34Z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eyJoZGlkIjoiZDM3NDU0MWUxNzFlZDhiNjZmZmFjYzQ4NDQ2ZjdiMzUiLCJ1c2VySWQiOiIzMzIzNzMwNzMifQ==</vt:lpwstr>
  </property>
  <property fmtid="{D5CDD505-2E9C-101B-9397-08002B2CF9AE}" pid="4" name="ICV">
    <vt:lpwstr>63040C413481464F8899BB81F14A1FA4_13</vt:lpwstr>
  </property>
</Properties>
</file>