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会议时间：2026年8月11日10:00-11:30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卢肖、武文斌、尹曼莉、王思齐、张紫科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本次会议为第七次周例会，本次会议主要围绕围绕agent项目迭代、领导专题汇报筹备、人员信息管理等事项开展研讨，明确各项工作节点与责任分工，内容如下：</w:t>
      </w:r>
    </w:p>
    <w:p w14:paraId="277ECA3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一、Agent项目迭代与落地推进</w:t>
      </w:r>
    </w:p>
    <w:p w14:paraId="4751A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补丁包开发与测试</w:t>
      </w:r>
    </w:p>
    <w:p w14:paraId="0644A21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发票上传补丁部署：发票上传功能补丁包已于</w:t>
      </w: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10日</w:t>
      </w:r>
      <w:r>
        <w:rPr>
          <w:rFonts w:hint="eastAsia" w:ascii="方正公文仿宋" w:hAnsi="方正公文仿宋" w:eastAsia="方正公文仿宋" w:cs="方正公文仿宋"/>
          <w:sz w:val="22"/>
        </w:rPr>
        <w:t>夜间10点多完成更新部署，当前暂未开展功能测试，待验证后正式投用。</w:t>
      </w:r>
    </w:p>
    <w:p w14:paraId="7B25FF8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补丁测试节点安排：由相关负责人于当日完成补丁包全量功能测试，验证功能可用性后，同步测试结果至项目组。</w:t>
      </w:r>
    </w:p>
    <w:p w14:paraId="20201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标准化任务模板开发</w:t>
      </w:r>
    </w:p>
    <w:p w14:paraId="004C4F7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模板开发核心方向：对标主流工作类agent产品Workb</w:t>
      </w: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udd</w:t>
      </w:r>
      <w:bookmarkStart w:id="0" w:name="_GoBack"/>
      <w:bookmarkEnd w:id="0"/>
      <w:r>
        <w:rPr>
          <w:rFonts w:hint="eastAsia" w:ascii="方正公文仿宋" w:hAnsi="方正公文仿宋" w:eastAsia="方正公文仿宋" w:cs="方正公文仿宋"/>
          <w:sz w:val="22"/>
        </w:rPr>
        <w:t>y，为各场景agent预置固定模板，仅开放用户需自定义的字段。</w:t>
      </w:r>
    </w:p>
    <w:p w14:paraId="400CC41E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模板核心价值：大幅减少用户与agent的中间互动次数，用户一次性填完所有信息后，仅需最后确认即可完成流程提交。</w:t>
      </w:r>
    </w:p>
    <w:p w14:paraId="4371CA46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优先级定位：将模板开发列为高优先级任务，待50人测试名单到位后可直接嵌入测试流程，适配后续大规模推广需求。</w:t>
      </w:r>
    </w:p>
    <w:p w14:paraId="0644039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开发周期评估：当日下午组织专项评审会，评估模板开发所需周期，形成明确结论后同步至所有相关负责人。</w:t>
      </w:r>
    </w:p>
    <w:p w14:paraId="28446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场景梳理与落地规划</w:t>
      </w:r>
    </w:p>
    <w:p w14:paraId="1FD6583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六大场景细化成果：已完成六大核心场景的拆解，共细化为23项具体功能点，技术层面全部具备落地可行性。</w:t>
      </w:r>
    </w:p>
    <w:p w14:paraId="42DA63B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一期落地范围划定：一期优先落地10个核心场景，后续根据工作量、可复制性做场景合并，避免按单一细碎功能拆分核算。</w:t>
      </w:r>
    </w:p>
    <w:p w14:paraId="3520199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待定需求确认节点：涉及投资、财务待定的5项需求，于当日11点后对接曼丽完成确认，明确可实施的清晰边界。</w:t>
      </w:r>
    </w:p>
    <w:p w14:paraId="3BB8B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课题产出与风险管控</w:t>
      </w:r>
    </w:p>
    <w:p w14:paraId="505DFC3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产出物表述调整：课题申报书中的产出物表述需务实，优先明确可落地的软著、技术文档等确定性成果，避免夸大市场化预期。</w:t>
      </w:r>
    </w:p>
    <w:p w14:paraId="745CD5AF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审计风险防控要求：所有功能、经费测算需符合市场公允标准，确保全周期经费、流程、产出均符合审计要求，避免后续倒查风险。</w:t>
      </w:r>
    </w:p>
    <w:p w14:paraId="5EA33280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长期合作导向要求：合作方需本着长期合作原则推进功能落地，避免过度按单一功能点核算成本，优先保障事项落地。</w:t>
      </w:r>
    </w:p>
    <w:p w14:paraId="7ED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其他待推进事项</w:t>
      </w:r>
    </w:p>
    <w:p w14:paraId="04C8719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身份绑定功能安排：agent身份绑定功能已完成开发，待50人测试名单到位后启动批量绑定测试，验证功能可用性。</w:t>
      </w:r>
    </w:p>
    <w:p w14:paraId="35B4BC88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跟踪台账状态更新：项目跟踪台账搭建已全部完成，所有已闭环事项统一更新状态，避免出现大量事项统一标注为推进中的问题。</w:t>
      </w:r>
    </w:p>
    <w:p w14:paraId="55788C1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基金平台接口对接：已完成需求同步并建立对接群，由曼丽负责催促对方尽快提供API对接方案，推进接口落地。</w:t>
      </w:r>
    </w:p>
    <w:p w14:paraId="1562E05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老OA收文功能安排：因对方未开放API接口，该功能优先级后置，后续可通过agent生成草稿的方式简化人工操作流程。</w:t>
      </w:r>
    </w:p>
    <w:p w14:paraId="5291CE4C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数据源成本优化安排：后续组织曼丽、产业链相关负责人召开专项会议，研讨专业数据源的成本优化具体落地方案。</w:t>
      </w:r>
    </w:p>
    <w:p w14:paraId="3C87E92C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财务系统对接跟进：当前实施方因召开图委会暂未到场，后续由曼丽对接确认财务系统实施进度与四朵云选型结果。</w:t>
      </w:r>
    </w:p>
    <w:p w14:paraId="429C1AA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二、领导专题汇报筹备工作</w:t>
      </w:r>
    </w:p>
    <w:p w14:paraId="35487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汇报内容框架设置</w:t>
      </w:r>
    </w:p>
    <w:p w14:paraId="143F7497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三大核心汇报模块：汇报内容分为功能需求实现、信息化建设整体进展、课题与经费三大板块，分别由对应责任方牵头汇报。</w:t>
      </w:r>
    </w:p>
    <w:p w14:paraId="324F7C10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配套PPT编制安排：配套制作两个专项PPT，分别由办公室、华清团队负责编制，当前PPT内容已完成初步审核。</w:t>
      </w:r>
    </w:p>
    <w:p w14:paraId="7F612174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功能演示材料准备：录制1分钟左右的agent功能演示视频，对操作流程做快剪处理，直观展示功能的实际便捷性。</w:t>
      </w:r>
    </w:p>
    <w:p w14:paraId="06CAB032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9716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2497">
      <w:p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color w:val="8F959E"/>
          <w:sz w:val="22"/>
        </w:rPr>
        <w:t>领导专题汇报内容框架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370F9DFE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三、汇报核心注意事项</w:t>
      </w:r>
    </w:p>
    <w:p w14:paraId="43A24977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经费口径统一要求：一次性向领导说明全周期总预算、当前阶段支出、剩余额度，明确最高、最低、当前三类金额区间。</w:t>
      </w:r>
    </w:p>
    <w:p w14:paraId="7F3BD0E5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避免二次经费申请：所有经费需求一次性说明清楚，杜绝后续中途追加经费的情况，确保领导对整体投入有清晰认知。</w:t>
      </w:r>
    </w:p>
    <w:p w14:paraId="1ABB9651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产品价值属性突出：重点说明产品的前瞻性、唯一性，明确当前成果的市场可替代性，匹配前期对外宣传的定位。</w:t>
      </w:r>
    </w:p>
    <w:p w14:paraId="4374F77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课题表述严谨要求：所有课题相关的产出、预期均实事求是，避免画大饼，确保后续审计时所有表述均可落地验证。</w:t>
      </w:r>
    </w:p>
    <w:p w14:paraId="3340FFA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</w:p>
    <w:p w14:paraId="35D95E4A">
      <w:pPr>
        <w:rPr>
          <w:rFonts w:hint="eastAsia" w:ascii="方正公文仿宋" w:hAnsi="方正公文仿宋" w:eastAsia="方正公文仿宋" w:cs="方正公文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F6CE45B-4A96-46C4-9675-7436E001777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A1E0C3AE-0AD7-4141-8DE8-8E10962819E5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6AA48AF8-7C59-46EC-8ED9-C4F035ADCE7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853C2"/>
    <w:rsid w:val="1086457D"/>
    <w:rsid w:val="11E04F80"/>
    <w:rsid w:val="26F56C47"/>
    <w:rsid w:val="2AD20001"/>
    <w:rsid w:val="56CA5FF0"/>
    <w:rsid w:val="57241ABE"/>
    <w:rsid w:val="5CED2A90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1707</Words>
  <Characters>1791</Characters>
  <Lines>0</Lines>
  <Paragraphs>0</Paragraphs>
  <TotalTime>1</TotalTime>
  <ScaleCrop>false</ScaleCrop>
  <LinksUpToDate>false</LinksUpToDate>
  <CharactersWithSpaces>1835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2026-08-28T03:14:48Z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4D4F2074FABE40A5941297A55603CF35_13</vt:lpwstr>
  </property>
</Properties>
</file>