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会议时间：2026年9月17日19:00-20:30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bookmarkStart w:id="0" w:name="_GoBack"/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  肖、朱慧媛、吴  彤、侯  双、杨晓冰、王思齐、张紫科</w:t>
      </w:r>
    </w:p>
    <w:bookmarkEnd w:id="0"/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杨  涛、马怡帅、</w:t>
      </w: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王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 xml:space="preserve">  </w:t>
      </w: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杰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、</w:t>
      </w: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付诗宇</w:t>
      </w:r>
    </w:p>
    <w:p w14:paraId="4825C57D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</w:t>
      </w:r>
    </w:p>
    <w:p w14:paraId="3B206BA5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邢晰婷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 xml:space="preserve">  </w:t>
      </w:r>
    </w:p>
    <w:p w14:paraId="3CDD08B2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本次会议为第十二次周例会，本次会议围绕联通驻场团队VPN新版本上线汇报、华清信息化方案介绍，明确信息化小组分工、专项汇报筹备要求及现有系统推进节点，内容如下：</w:t>
      </w:r>
    </w:p>
    <w:p w14:paraId="3C497400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•联通OA VPN新版本上线相关安排</w:t>
      </w:r>
    </w:p>
    <w:p w14:paraId="5BA563F0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VPN现存问题修复情况</w:t>
      </w:r>
    </w:p>
    <w:p w14:paraId="65AE0698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电脑合盖假死问题修复：新版本解决电脑合盖后VPN无提示假死、用户误以为仍在线的问题，异常后自动退回登录界面，用户重新登录即可正常访问OA、资管等业务系统。</w:t>
      </w:r>
    </w:p>
    <w:p w14:paraId="61A8620E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网络切换会话保持优化：实现30秒内网络切换、短时网络波动场景下VPN会话不中断，用户跨办公区切换WiFi、更换手机热点时无需重新登录，大幅提升使用体验。</w:t>
      </w:r>
    </w:p>
    <w:p w14:paraId="7DA66D0B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安全软件拦截适配优化：调整VPN服务启动逻辑，减少不必要的自启动环节，配合联通驻场人员已完成绝大多数用户的安全软件目录加白操作，剩余极少数用户可手动完成配置。</w:t>
      </w:r>
    </w:p>
    <w:p w14:paraId="4EFB31DA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个别用户DNS访问异常处理：针对部分使用手机热点的用户出现的域名无法访问、IP可正常访问的问题，通过手动配置hosts文件完成适配，该类问题出现频次极低。</w:t>
      </w:r>
    </w:p>
    <w:p w14:paraId="0ACDD068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新版本上线落地计划</w:t>
      </w:r>
      <w:r>
        <w:rPr>
          <w:rFonts w:hint="eastAsia" w:ascii="方正公文仿宋" w:hAnsi="方正公文仿宋" w:eastAsia="方正公文仿宋" w:cs="方正公文仿宋"/>
          <w:sz w:val="22"/>
        </w:rPr>
        <w:t>：</w:t>
      </w:r>
    </w:p>
    <w:p w14:paraId="00E57117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上线时间窗口确定：当晚8点完成VPN网关后台旧安装包替换，该操作不影响存量已安装VPN的用户正常使用，仅后续新入职员工下载时直接获取新版本安装包。</w:t>
      </w:r>
    </w:p>
    <w:p w14:paraId="5C02CDAC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灰度推广策略执行：不强制所有存量用户升级，优先为当前遇到VPN异常问题的用户安装新版本，后续逐步扩大覆盖范围，提前留存旧版本安装包作为应急备份。</w:t>
      </w:r>
    </w:p>
    <w:p w14:paraId="24196ABA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问题响应机制建立：建立专属问题反馈微信群，联通驻场工程师全程在群值守，新版本运行过程中出现的各类异常可第一时间提交，工程师实时跟进排查解决。</w:t>
      </w:r>
    </w:p>
    <w:p w14:paraId="0B7C9204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新版本通知触达安排：通过各部门接口人传导新版本相关说明，同时在群内同步新版本安装包下载链接，确保各部门用户可便捷获取相关资源。</w:t>
      </w:r>
    </w:p>
    <w:p w14:paraId="195ED0A6">
      <w:pPr>
        <w:spacing w:before="380" w:after="140" w:line="288" w:lineRule="auto"/>
        <w:ind w:left="0"/>
        <w:jc w:val="left"/>
        <w:outlineLvl w:val="0"/>
        <w:rPr>
          <w:rFonts w:hint="default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二、四大信息化系统方案介绍</w:t>
      </w:r>
    </w:p>
    <w:p w14:paraId="2EE82DB9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统一门户模块</w:t>
      </w:r>
    </w:p>
    <w:p w14:paraId="18C46874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三层架构设计：分为对内员工/领导使用的内部门户、面向园区入驻企业及供应商的中台服务门户、面向公众展示的外网官网，配套移动端与内部门户数据完全打通。</w:t>
      </w:r>
    </w:p>
    <w:p w14:paraId="66136DDE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千人千面权限适配：基于不同部门、不同用户的权限配置个性化展示内容，底层对接现有OA系统获取业务数据，通过API、H5形式嵌入移动端，实现分级分权管控。</w:t>
      </w:r>
    </w:p>
    <w:p w14:paraId="44D27CDB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核心功能覆盖：集成统一待办、统一消息通知、统一数据展示核心能力，所有待办事项集中汇总后推送给对应用户，减少多系统切换操作成本。</w:t>
      </w:r>
    </w:p>
    <w:p w14:paraId="37274D21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统一身份管控（IAM）模块</w:t>
      </w:r>
    </w:p>
    <w:p w14:paraId="19F4F0D4">
      <w:pPr>
        <w:numPr>
          <w:ilvl w:val="0"/>
          <w:numId w:val="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核心能力构成：围绕认证、授权、访问控制、审计四大核心能力搭建，底层对接OA内置的EHR系统获取用户基础数据，无需额外搭建独立人力系统。</w:t>
      </w:r>
    </w:p>
    <w:p w14:paraId="72FA5A83">
      <w:pPr>
        <w:numPr>
          <w:ilvl w:val="0"/>
          <w:numId w:val="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无感知后台运行：作为后台管理系统面向运维部门开放，普通用户日常使用过程中无感知，所有用户登录、系统调用操作全链路留痕，日志可随时调阅用于合规审计。</w:t>
      </w:r>
    </w:p>
    <w:p w14:paraId="5521D697">
      <w:pPr>
        <w:numPr>
          <w:ilvl w:val="0"/>
          <w:numId w:val="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智能体身份扩展：后续可在现有人员身份管控体系基础上扩展智能体身份管理能力，实现从“管人”到“管人+管智能体”的身份治理跃迁</w:t>
      </w:r>
    </w:p>
    <w:p w14:paraId="0B9BD10D">
      <w:pPr>
        <w:numPr>
          <w:ilvl w:val="0"/>
          <w:numId w:val="8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统一IM即时通讯模块</w:t>
      </w:r>
    </w:p>
    <w:p w14:paraId="5EE54759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底座选型优势：基于钉钉底座进行定制化改造，支持隐藏原生钉钉标识、替换专属logo与客户端样式，打造专属的园区内部即时通讯工具，无需从零搭建。</w:t>
      </w:r>
    </w:p>
    <w:p w14:paraId="1FF86F4C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系统集成逻辑：所有业务系统入口统一集成到IM工作台，通过统一身份认证实现单点登录，用户无需重复输入多套账号密码，所有业务数据本地化存储不经过钉钉服务器。</w:t>
      </w:r>
    </w:p>
    <w:p w14:paraId="6055EBA6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双入口并行设计：PC端同时保留BS架构的统一门户网页入口与IM客户端入口，两个入口的业务系统图标配置保持一致，用户可根据使用习惯自由选择访问路径。</w:t>
      </w:r>
    </w:p>
    <w:p w14:paraId="56BC432B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￮AgentOS企业级多智能体操作系统模块</w:t>
      </w:r>
    </w:p>
    <w:p w14:paraId="7B1AEF98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产品核心定位：作为面向未来10年AI企业落地的底层基础设施，区别于普通AI应用工作台，聚焦智能体的搭建、运行、审计、成本管控、安全防护全流程管理。</w:t>
      </w:r>
    </w:p>
    <w:p w14:paraId="243D37FE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七大设计理念：具备独立部署、开放对接、以智能体为核心、多智能体协作编排、身份治理跃迁、内生安全、运营透明、知识资产沉淀七大核心设计特性。</w:t>
      </w:r>
    </w:p>
    <w:p w14:paraId="2B5F1024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多端入口配置：支持桌面端、钉钉移动端等多入口接入，用户可将智能体直接拉入工作群@触发任务，无需跳转独立平台即可完成AI任务下发。</w:t>
      </w:r>
    </w:p>
    <w:p w14:paraId="029191D7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核心功能覆盖：内置任务中心、共享知识库、AI网关、安全护栏、生态管理五大核心板块，可自动将零散文档加工为带关联关系的企业知识Wiki，沉淀可复用的技能、插件、系统接入模板资产。</w:t>
      </w:r>
    </w:p>
    <w:p w14:paraId="67C1FB9F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安全防护体系：设置三道安全防线，入口侧拦截恶意提示词注入与敏感信息上传，出口侧校验大模型输出内容的事实准确性，智能体运行过程在独立沙箱内隔离，避免单点故障影响全局。</w:t>
      </w:r>
    </w:p>
    <w:p w14:paraId="3616D343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智能体身份管理：为每一个智能体分配全局唯一ID，建立委托人、归属部门、任务负责人、风险责任人的权责体系，所有智能体操作全链路可审计可追溯，权限随任务动态申请释放，符合零信任安全原则。</w:t>
      </w:r>
    </w:p>
    <w:p w14:paraId="6CB4A25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三、信息化专项汇报筹备要求</w:t>
      </w:r>
    </w:p>
    <w:p w14:paraId="1D70A628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汇报材料精简优化</w:t>
      </w:r>
      <w:r>
        <w:rPr>
          <w:rFonts w:hint="eastAsia" w:ascii="方正公文仿宋" w:hAnsi="方正公文仿宋" w:eastAsia="方正公文仿宋" w:cs="方正公文仿宋"/>
          <w:sz w:val="22"/>
        </w:rPr>
        <w:t>：摒弃原有分散的多套PPT素材，重新整合为逻辑连贯的统一汇报版本，控制总页数在10页以内，开篇用一张整体架构图讲清四大系统的流转关系，避免过多技术细节铺垫。</w:t>
      </w:r>
    </w:p>
    <w:p w14:paraId="73D38C6C">
      <w:pPr>
        <w:numPr>
          <w:ilvl w:val="0"/>
          <w:numId w:val="11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内容贴合领导关注点</w:t>
      </w:r>
      <w:r>
        <w:rPr>
          <w:rFonts w:hint="eastAsia" w:ascii="方正公文仿宋" w:hAnsi="方正公文仿宋" w:eastAsia="方正公文仿宋" w:cs="方正公文仿宋"/>
          <w:sz w:val="22"/>
        </w:rPr>
        <w:t>：每个系统模块重点突出与AI能力的结合点，无需展开底层技术实现细节，领导对特定内容感兴趣时再做针对性展开，整体汇报时长控制在1小时以内。</w:t>
      </w:r>
    </w:p>
    <w:p w14:paraId="438BB9AC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预算报价相关要求</w:t>
      </w:r>
      <w:r>
        <w:rPr>
          <w:rFonts w:hint="eastAsia" w:ascii="方正公文仿宋" w:hAnsi="方正公文仿宋" w:eastAsia="方正公文仿宋" w:cs="方正公文仿宋"/>
          <w:sz w:val="22"/>
        </w:rPr>
        <w:t>：总报价需低于各分系统单独报价的总和，总金额控制在400万以内，统一IM模块按照1000人使用规模核算报价，明确后续增量扩容的价格锁定规则。</w:t>
      </w:r>
    </w:p>
    <w:p w14:paraId="09282C4F">
      <w:pPr>
        <w:numPr>
          <w:ilvl w:val="0"/>
          <w:numId w:val="13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适度超前场景设计</w:t>
      </w:r>
      <w:r>
        <w:rPr>
          <w:rFonts w:hint="eastAsia" w:ascii="方正公文仿宋" w:hAnsi="方正公文仿宋" w:eastAsia="方正公文仿宋" w:cs="方正公文仿宋"/>
          <w:sz w:val="22"/>
        </w:rPr>
        <w:t>：结合马总提出的办公区超前改造要求，将C3会议室的智能硬件接入场景融入方案，体现AgentOS支持各类智能硬件开放接入的特性，满足适度超前的建设要求。</w:t>
      </w:r>
    </w:p>
    <w:p w14:paraId="25438713">
      <w:pPr>
        <w:numPr>
          <w:ilvl w:val="0"/>
          <w:numId w:val="14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下周迭代节点安排</w:t>
      </w:r>
      <w:r>
        <w:rPr>
          <w:rFonts w:hint="eastAsia" w:ascii="方正公文仿宋" w:hAnsi="方正公文仿宋" w:eastAsia="方正公文仿宋" w:cs="方正公文仿宋"/>
          <w:sz w:val="22"/>
        </w:rPr>
        <w:t>：周日完成材料调整，周一召开信息化例会对新版本方案进行打磨，错开周办公会时间完成内部预演，确保正式向马总汇报前所有内容打磨到位。</w:t>
      </w:r>
    </w:p>
    <w:p w14:paraId="6E1F967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四、信息化小组建设与分工安排</w:t>
      </w:r>
    </w:p>
    <w:p w14:paraId="3A73C078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小组成员权责划分</w:t>
      </w:r>
      <w:r>
        <w:rPr>
          <w:rFonts w:ascii="Arial" w:hAnsi="Arial" w:eastAsia="等线" w:cs="Arial"/>
          <w:sz w:val="22"/>
        </w:rPr>
        <w:t>：4名入选的信息化小组成员分别对接不同模块，高泽伟牵头负责OA相关内容汇报，其余三人分别对接统一门户、统一身份管控、统一IM模块，承担对应系统的选型、技术参数初筛等落地工作。</w:t>
      </w:r>
    </w:p>
    <w:p w14:paraId="3972B7BE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智能体种子用户激活</w:t>
      </w:r>
      <w:r>
        <w:rPr>
          <w:rFonts w:ascii="Arial" w:hAnsi="Arial" w:eastAsia="等线" w:cs="Arial"/>
          <w:sz w:val="22"/>
        </w:rPr>
        <w:t>：次日启动50个智能体种子用户的上门辅导工作，将信息化小组成员全部增补为种子用户，现场协助用户完成安装并实操往返居住地报销场景，提升平台活跃度。</w:t>
      </w:r>
    </w:p>
    <w:p w14:paraId="71DF66B1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主流Agent产品特性调研</w:t>
      </w:r>
      <w:r>
        <w:rPr>
          <w:rFonts w:ascii="Arial" w:hAnsi="Arial" w:eastAsia="等线" w:cs="Arial"/>
          <w:sz w:val="22"/>
        </w:rPr>
        <w:t>：要求相关人员本周内完成4款主流Agent产品的特性对比报告，梳理可借鉴的优势功能融入现有方案，实现产品能力的适度超前。</w:t>
      </w:r>
    </w:p>
    <w:p w14:paraId="196B2BEC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投资智能体交接落地</w:t>
      </w:r>
      <w:r>
        <w:rPr>
          <w:rFonts w:ascii="Arial" w:hAnsi="Arial" w:eastAsia="等线" w:cs="Arial"/>
          <w:sz w:val="22"/>
        </w:rPr>
        <w:t>：安排对应人员对接投资部门相关同事，完成投资智能体的工作交接，后续由信息化小组直接跟进该智能体的需求迭代与落地推进。</w:t>
      </w:r>
    </w:p>
    <w:p w14:paraId="57C77D5E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五、现有信息化系统运行与优化进展</w:t>
      </w:r>
    </w:p>
    <w:p w14:paraId="7F5EBDE5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网络运行优化情况</w:t>
      </w:r>
      <w:r>
        <w:rPr>
          <w:rFonts w:hint="eastAsia" w:ascii="方正公文仿宋" w:hAnsi="方正公文仿宋" w:eastAsia="方正公文仿宋" w:cs="方正公文仿宋"/>
          <w:sz w:val="22"/>
        </w:rPr>
        <w:t>：完成ACAP系统升级调优后，网络稳定性大幅提升，连续运行期间仅出现1次断网故障，后续继续观察运行状态，待稳定后由华为出具正式优化报告。</w:t>
      </w:r>
    </w:p>
    <w:p w14:paraId="7ED28DD0">
      <w:pPr>
        <w:numPr>
          <w:ilvl w:val="0"/>
          <w:numId w:val="7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网管平台部署安排</w:t>
      </w:r>
      <w:r>
        <w:rPr>
          <w:rFonts w:hint="eastAsia" w:ascii="方正公文仿宋" w:hAnsi="方正公文仿宋" w:eastAsia="方正公文仿宋" w:cs="方正公文仿宋"/>
          <w:sz w:val="22"/>
        </w:rPr>
        <w:t>：接入行业协会捐赠的网管可视化软件，配套部署专用网管服务器，实现全网络运行状态的可视化监控，后续可直接提取运行数据用于向领导汇报。</w:t>
      </w:r>
    </w:p>
    <w:p w14:paraId="744DE59C">
      <w:pPr>
        <w:numPr>
          <w:ilvl w:val="0"/>
          <w:numId w:val="8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OA驾驶舱建设进展：</w:t>
      </w:r>
      <w:r>
        <w:rPr>
          <w:rFonts w:hint="eastAsia" w:ascii="方正公文仿宋" w:hAnsi="方正公文仿宋" w:eastAsia="方正公文仿宋" w:cs="方正公文仿宋"/>
          <w:sz w:val="22"/>
        </w:rPr>
        <w:t>固定资产管理驾驶舱已导入14000余项资产数据，配套RFID设备已到货，待剩余数据补全后即可上线；科研项目管理驾驶舱已完成基础框架搭建，后续补充里程碑、人员、经费等相关数据后提交领导审核。</w:t>
      </w:r>
    </w:p>
    <w:p w14:paraId="78F0ED82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工程管理模块推进</w:t>
      </w:r>
      <w:r>
        <w:rPr>
          <w:rFonts w:hint="eastAsia" w:ascii="方正公文仿宋" w:hAnsi="方正公文仿宋" w:eastAsia="方正公文仿宋" w:cs="方正公文仿宋"/>
          <w:sz w:val="22"/>
        </w:rPr>
        <w:t>：工程管理相关数据尚未完成录入，后续安排专人对接相关部门完成数据补全，确保OA驾驶舱所有板块内容完整可用。</w:t>
      </w:r>
    </w:p>
    <w:p w14:paraId="30E3F79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9B722FA-44E4-4358-8BCA-E0A39FE978D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0E3DBA14-ADD3-48C3-8A6E-5FEC5962A414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09168CB2-F5B8-487B-9591-5A270C9A486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8CAEB125"/>
    <w:multiLevelType w:val="singleLevel"/>
    <w:tmpl w:val="8CAEB1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A070467E"/>
    <w:multiLevelType w:val="singleLevel"/>
    <w:tmpl w:val="A07046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B64CFA9"/>
    <w:multiLevelType w:val="singleLevel"/>
    <w:tmpl w:val="BB64CF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4C3D7A74"/>
    <w:multiLevelType w:val="singleLevel"/>
    <w:tmpl w:val="4C3D7A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5E29AB5A"/>
    <w:multiLevelType w:val="singleLevel"/>
    <w:tmpl w:val="5E29AB5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">
    <w:nsid w:val="79AA4FA4"/>
    <w:multiLevelType w:val="singleLevel"/>
    <w:tmpl w:val="79AA4F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7DEC2089"/>
    <w:multiLevelType w:val="singleLevel"/>
    <w:tmpl w:val="7DEC208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4"/>
  </w:num>
  <w:num w:numId="2">
    <w:abstractNumId w:val="8"/>
  </w:num>
  <w:num w:numId="3">
    <w:abstractNumId w:val="15"/>
  </w:num>
  <w:num w:numId="4">
    <w:abstractNumId w:val="5"/>
  </w:num>
  <w:num w:numId="5">
    <w:abstractNumId w:val="9"/>
  </w:num>
  <w:num w:numId="6">
    <w:abstractNumId w:val="6"/>
  </w:num>
  <w:num w:numId="7">
    <w:abstractNumId w:val="1"/>
  </w:num>
  <w:num w:numId="8">
    <w:abstractNumId w:val="11"/>
  </w:num>
  <w:num w:numId="9">
    <w:abstractNumId w:val="14"/>
  </w:num>
  <w:num w:numId="10">
    <w:abstractNumId w:val="19"/>
  </w:num>
  <w:num w:numId="11">
    <w:abstractNumId w:val="0"/>
  </w:num>
  <w:num w:numId="12">
    <w:abstractNumId w:val="12"/>
  </w:num>
  <w:num w:numId="13">
    <w:abstractNumId w:val="16"/>
  </w:num>
  <w:num w:numId="14">
    <w:abstractNumId w:val="10"/>
  </w:num>
  <w:num w:numId="15">
    <w:abstractNumId w:val="13"/>
  </w:num>
  <w:num w:numId="16">
    <w:abstractNumId w:val="18"/>
  </w:num>
  <w:num w:numId="17">
    <w:abstractNumId w:val="7"/>
  </w:num>
  <w:num w:numId="18">
    <w:abstractNumId w:val="3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12C87"/>
    <w:rsid w:val="09AC0EFB"/>
    <w:rsid w:val="0D503481"/>
    <w:rsid w:val="0E744737"/>
    <w:rsid w:val="1086457D"/>
    <w:rsid w:val="11E04F80"/>
    <w:rsid w:val="18C64BF0"/>
    <w:rsid w:val="2AD20001"/>
    <w:rsid w:val="36196688"/>
    <w:rsid w:val="3B6405FB"/>
    <w:rsid w:val="4C1A156A"/>
    <w:rsid w:val="56CA5FF0"/>
    <w:rsid w:val="57241ABE"/>
    <w:rsid w:val="5CED2A90"/>
    <w:rsid w:val="6561749B"/>
    <w:rsid w:val="666A3B93"/>
    <w:rsid w:val="70180DF5"/>
    <w:rsid w:val="702B7E17"/>
    <w:rsid w:val="7146333E"/>
    <w:rsid w:val="7185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2557</Words>
  <Characters>2666</Characters>
  <Lines>0</Lines>
  <Paragraphs>0</Paragraphs>
  <TotalTime>0</TotalTime>
  <ScaleCrop>false</ScaleCrop>
  <LinksUpToDate>false</LinksUpToDate>
  <CharactersWithSpaces>2675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2026-10-08T08:33:12Z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0DF0C016B4444CB0B904B53D54709093_13</vt:lpwstr>
  </property>
</Properties>
</file>