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10B4F">
      <w:pPr>
        <w:keepNext w:val="0"/>
        <w:keepLines w:val="0"/>
        <w:widowControl/>
        <w:suppressLineNumbers w:val="0"/>
        <w:jc w:val="center"/>
        <w:rPr>
          <w:rStyle w:val="5"/>
          <w:rFonts w:hint="eastAsia" w:ascii="楷体_GB2312" w:hAnsi="楷体_GB2312" w:eastAsia="楷体_GB2312" w:cs="楷体_GB2312"/>
          <w:b/>
          <w:bCs/>
          <w:i w:val="0"/>
          <w:iCs w:val="0"/>
          <w:caps w:val="0"/>
          <w:spacing w:val="0"/>
          <w:kern w:val="0"/>
          <w:sz w:val="24"/>
          <w:szCs w:val="24"/>
          <w:vertAlign w:val="baseline"/>
          <w:lang w:val="en-US" w:eastAsia="zh-CN" w:bidi="ar"/>
        </w:rPr>
      </w:pPr>
    </w:p>
    <w:p w14:paraId="7391CB41">
      <w:pPr>
        <w:keepNext w:val="0"/>
        <w:keepLines w:val="0"/>
        <w:widowControl/>
        <w:suppressLineNumbers w:val="0"/>
        <w:jc w:val="center"/>
      </w:pPr>
      <w:r>
        <w:rPr>
          <w:rStyle w:val="5"/>
          <w:rFonts w:hint="eastAsia" w:ascii="楷体_GB2312" w:hAnsi="楷体_GB2312" w:eastAsia="楷体_GB2312" w:cs="楷体_GB2312"/>
          <w:b/>
          <w:bCs/>
          <w:i w:val="0"/>
          <w:iCs w:val="0"/>
          <w:caps w:val="0"/>
          <w:spacing w:val="0"/>
          <w:kern w:val="0"/>
          <w:sz w:val="24"/>
          <w:szCs w:val="24"/>
          <w:vertAlign w:val="baseline"/>
          <w:lang w:val="en-US" w:eastAsia="zh-CN" w:bidi="ar"/>
        </w:rPr>
        <w:t>华清智言Agent OS投资业务场景落地雄安科学园，数字员工能力再进阶</w:t>
      </w:r>
    </w:p>
    <w:p w14:paraId="3BF80D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ascii="arial" w:hAnsi="arial" w:cs="arial"/>
          <w:color w:val="000000"/>
          <w:sz w:val="24"/>
          <w:szCs w:val="24"/>
        </w:rPr>
      </w:pPr>
    </w:p>
    <w:p w14:paraId="60BEC1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ascii="Calibri" w:hAnsi="Calibri" w:cs="Calibr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4"/>
          <w:szCs w:val="24"/>
        </w:rPr>
        <w:t>继7月7日发布</w: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  <w:u w:val="none"/>
        </w:rPr>
        <w:instrText xml:space="preserve"> HYPERLINK "https://mp.weixin.qq.com/s?__biz=Mzk0MTg3MzI5OA==&amp;mid=2247483774&amp;idx=1&amp;sn=116fc220835e972c6306bba54b317164&amp;scene=21" \l "wechat_redirect" \t "/Users/liaosenhua/Documents\\x/_blank" </w:instrTex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cs="arial"/>
          <w:color w:val="auto"/>
          <w:sz w:val="24"/>
          <w:szCs w:val="24"/>
          <w:u w:val="none"/>
        </w:rPr>
        <w:t>差旅报销助手</w: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end"/>
      </w:r>
      <w:r>
        <w:rPr>
          <w:rFonts w:hint="default" w:ascii="arial" w:hAnsi="arial" w:cs="arial"/>
          <w:color w:val="000000"/>
          <w:sz w:val="24"/>
          <w:szCs w:val="24"/>
        </w:rPr>
        <w:t>之后，近日，华清智言Agent OS又推出了立足科学园工作需求的投资业务应用场景。</w:t>
      </w:r>
    </w:p>
    <w:p w14:paraId="0542A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43C563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eastAsia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</w:rPr>
        <w:t>雄安科学园</w:t>
      </w: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投资团队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承担着</w:t>
      </w: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高强度、高密度的日常工作</w:t>
      </w:r>
      <w:r>
        <w:rPr>
          <w:rFonts w:hint="default" w:ascii="arial" w:hAnsi="arial" w:cs="arial"/>
          <w:color w:val="000000"/>
          <w:sz w:val="24"/>
          <w:szCs w:val="24"/>
        </w:rPr>
        <w:t>：与意向企业面谈、完成项目调查、编制立项材料、审核交易合同</w:t>
      </w:r>
      <w:r>
        <w:rPr>
          <w:rFonts w:hint="eastAsia" w:ascii="arial" w:hAnsi="arial" w:cs="arial"/>
          <w:color w:val="000000"/>
          <w:sz w:val="24"/>
          <w:szCs w:val="24"/>
          <w:lang w:eastAsia="zh-CN"/>
        </w:rPr>
        <w:t>，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每个</w:t>
      </w: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环节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都容不得半点</w:t>
      </w: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疏漏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，否则就</w:t>
      </w: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可能导致优质项目流失或决策偏差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。如何在保证工作质量的同时为团队减负增效，成为了科学园投资工作的现实需求。</w:t>
      </w:r>
    </w:p>
    <w:p w14:paraId="7B6A92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right="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0113683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arial" w:hAnsi="arial" w:cs="arial"/>
          <w:color w:val="000000"/>
          <w:sz w:val="24"/>
          <w:szCs w:val="24"/>
          <w:lang w:eastAsia="zh-CN"/>
        </w:rPr>
      </w:pPr>
      <w:r>
        <w:rPr>
          <w:rFonts w:hint="default" w:ascii="arial" w:hAnsi="arial" w:cs="arial"/>
          <w:color w:val="000000"/>
          <w:sz w:val="24"/>
          <w:szCs w:val="24"/>
        </w:rPr>
        <w:t>面对这一需求，华清</w:t>
      </w:r>
      <w:bookmarkStart w:id="0" w:name="_GoBack"/>
      <w:bookmarkEnd w:id="0"/>
      <w:r>
        <w:rPr>
          <w:rFonts w:hint="default" w:ascii="arial" w:hAnsi="arial" w:cs="arial"/>
          <w:color w:val="000000"/>
          <w:sz w:val="24"/>
          <w:szCs w:val="24"/>
        </w:rPr>
        <w:t>智言Agent OS研发团队深入调研科学园投资项目流程，量身定制了投资业务专项场景，将平台能力精准嵌入投资工作流中人力消耗最大、风险最集中的项目调查、立项文书起草、合同文件审查三大环节</w:t>
      </w:r>
      <w:r>
        <w:rPr>
          <w:rFonts w:hint="eastAsia" w:ascii="arial" w:hAnsi="arial" w:cs="arial"/>
          <w:color w:val="000000"/>
          <w:sz w:val="24"/>
          <w:szCs w:val="24"/>
          <w:lang w:eastAsia="zh-CN"/>
        </w:rPr>
        <w:t>，</w:t>
      </w:r>
      <w:r>
        <w:rPr>
          <w:rFonts w:hint="eastAsia" w:ascii="arial" w:hAnsi="arial" w:cs="arial"/>
          <w:color w:val="000000"/>
          <w:sz w:val="24"/>
          <w:szCs w:val="24"/>
          <w:lang w:val="en-US" w:eastAsia="zh-CN"/>
        </w:rPr>
        <w:t>将繁琐的程式化工作交给AI，让专业的人把精力集中在更有价值的地方。</w:t>
      </w:r>
    </w:p>
    <w:p w14:paraId="33625616">
      <w:pPr>
        <w:keepNext w:val="0"/>
        <w:keepLines w:val="0"/>
        <w:widowControl/>
        <w:suppressLineNumbers w:val="0"/>
        <w:jc w:val="left"/>
      </w:pPr>
    </w:p>
    <w:p w14:paraId="51681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3391E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55C2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90B44D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 项目研判：一键尽调，不再手忙脚乱</w:t>
      </w:r>
    </w:p>
    <w:p w14:paraId="3C81C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7BED8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投资项目立项前，投资方团队需要逐一核验企业工商、司法、知产、团队背景等信息，判别是否存在潜在风险。过去，团队成员们要在企查查、裁判文书网、专利数据库等十几个平台间手动反复切换，逐项核实BP中的信息，还要整理保存对应证据，不仅劳神费力，而且非常容易忙中出错，需要来回审核，耗费大量时间。</w:t>
      </w:r>
    </w:p>
    <w:p w14:paraId="72A0B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4DAE22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而华清智言Agent OS的项目研判功能接入后，投资团队成员只需要在对话框敲一下快捷键，将企业的BP、立项说明书、访谈纪要等材料上传，系统便会先把所有描述拆解为“待验证主张”，然后通过企业数据工具锚定唯一主体，从标的主体合规筛查、业务与行业竞争力分析两大维度进行研判。前者聚焦企业及其高管是否存在违法违规行为，紧紧把住合规红线；后者则重点核验BP中业务描述的真实性，并通过检索同类技术、竞品产品和行业公开报告，分析企业真实经营能力和市场行情，判断这个项目是否值得投资。</w:t>
      </w:r>
    </w:p>
    <w:p w14:paraId="7EED4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E682D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55290"/>
            <wp:effectExtent l="0" t="0" r="16510" b="16510"/>
            <wp:docPr id="24" name="图片 2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BD5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6AA87DF">
      <w:pPr>
        <w:keepNext w:val="0"/>
        <w:keepLines w:val="0"/>
        <w:widowControl/>
        <w:suppressLineNumbers w:val="0"/>
        <w:jc w:val="left"/>
      </w:pPr>
    </w:p>
    <w:p w14:paraId="35E71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</w:pPr>
      <w:r>
        <w:rPr>
          <w:rFonts w:hint="default" w:ascii="arial" w:hAnsi="arial" w:cs="arial"/>
          <w:sz w:val="24"/>
          <w:szCs w:val="24"/>
        </w:rPr>
        <w:t>   </w:t>
      </w:r>
      <w:r>
        <w:rPr>
          <w:rFonts w:hint="default" w:ascii="arial" w:hAnsi="arial" w:cs="arial"/>
          <w:color w:val="000000"/>
          <w:sz w:val="24"/>
          <w:szCs w:val="24"/>
        </w:rPr>
        <w:t> 与此同时，核验过程会形成一份“主张台账”，记录原始说法、验证目标、证据来源和核验状态，并记录证据编号、来源等级、查询日期和冲突说明，形成永久可追溯的完整证据链。</w:t>
      </w:r>
    </w:p>
    <w:p w14:paraId="4679FD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07C7E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955290"/>
            <wp:effectExtent l="0" t="0" r="16510" b="16510"/>
            <wp:docPr id="26" name="图片 2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37D7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64F39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486A3B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3274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</w:pPr>
      <w:r>
        <w:rPr>
          <w:rFonts w:hint="default" w:ascii="arial" w:hAnsi="arial" w:cs="arial"/>
          <w:sz w:val="24"/>
          <w:szCs w:val="24"/>
        </w:rPr>
        <w:t>   </w:t>
      </w:r>
      <w:r>
        <w:rPr>
          <w:rFonts w:hint="default" w:ascii="arial" w:hAnsi="arial" w:cs="arial"/>
          <w:color w:val="000000"/>
          <w:sz w:val="24"/>
          <w:szCs w:val="24"/>
        </w:rPr>
        <w:t> </w:t>
      </w:r>
      <w:r>
        <w:rPr>
          <w:rFonts w:hint="default" w:ascii="arial" w:hAnsi="arial" w:cs="arial"/>
          <w:color w:val="000000"/>
        </w:rPr>
        <w:t>最后，Agent会输出一份包含核验结果、证据报告、待补材料和待核实问题清单的报告，并针对该项目给出继续推进/补充核验/附条件推进/暂缓/排除的建议。对于复杂股权结构，系统还会生成可视化股权关系示意图，让多层嵌套的持股关系一目了然，帮助团队理清思路，更好地排查风险、作出决策。</w:t>
      </w:r>
    </w:p>
    <w:p w14:paraId="5DFA01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78CAD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23820"/>
            <wp:effectExtent l="0" t="0" r="16510" b="17780"/>
            <wp:docPr id="25" name="图片 2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8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CD8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6B57F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09215"/>
            <wp:effectExtent l="0" t="0" r="16510" b="6985"/>
            <wp:docPr id="36" name="图片 2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DB4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218570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02 立项合同起草：自动成稿，告别反复修改</w:t>
      </w:r>
    </w:p>
    <w:p w14:paraId="755A9A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33E624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立项文书起草阶段，投资方团队需要将BP、财务数据、客户清单、团队履历等大量信息整理成规范的立项材料。过去，投资经理们要对着Word模板手动填表，核对客户金额和年度收入是否对得上，检查资产负债是否平衡，还要来回换算金额单位，反复调整字体、表格和段落格式。模板一更新，字段对应关系就容易乱，漏填、错填、前后矛盾是家常便饭，一份材料改五六稿也不稀奇。</w:t>
      </w:r>
    </w:p>
    <w:p w14:paraId="6B987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10776A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华清智言Agent OS把这个环节变成了结构化输出。在对话界面上传材料后，系统会直接读取内置的Word模板，把信息一一对应地填进去，并在填充过程中自动换算金额单位，统一日期、比例、人数等信息。此外，对于客户金额合计、年度收入、研发人员占比、资产负债平衡关系等关键数据，一旦发现矛盾，系统会立即标记提示，让人工介入把关。</w:t>
      </w:r>
    </w:p>
    <w:p w14:paraId="00B8C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AA92B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38" name="图片 3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4FC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E662E0E">
      <w:pPr>
        <w:keepNext w:val="0"/>
        <w:keepLines w:val="0"/>
        <w:widowControl/>
        <w:suppressLineNumbers w:val="0"/>
        <w:jc w:val="left"/>
      </w:pPr>
    </w:p>
    <w:p w14:paraId="34A36F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</w:pPr>
      <w:r>
        <w:rPr>
          <w:rFonts w:hint="default" w:ascii="arial" w:hAnsi="arial" w:cs="arial"/>
          <w:sz w:val="24"/>
          <w:szCs w:val="24"/>
        </w:rPr>
        <w:t>   </w:t>
      </w:r>
      <w:r>
        <w:rPr>
          <w:rFonts w:hint="default" w:ascii="arial" w:hAnsi="arial" w:cs="arial"/>
          <w:color w:val="000000"/>
          <w:sz w:val="24"/>
          <w:szCs w:val="24"/>
        </w:rPr>
        <w:t> </w:t>
      </w:r>
      <w:r>
        <w:rPr>
          <w:rFonts w:hint="default" w:ascii="arial" w:hAnsi="arial" w:cs="arial"/>
          <w:color w:val="000000"/>
          <w:sz w:val="24"/>
          <w:szCs w:val="24"/>
          <w:u w:val="none"/>
        </w:rPr>
        <w:t>而遇到材料里缺失的财务数据，系统会强制留空并注明原因，绝不根据BP描述或行业估算补造数字，从源头堵死数据造假的口子。内部讨论时，团队可以先输出保留未完成占位符的草稿版，确认全部数据后，再切换成正式模式。系统会强制校验所有字段完整性和数据一致性，绝不会让半成品流入审批流程。</w:t>
      </w:r>
    </w:p>
    <w:p w14:paraId="0AF2C9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</w:pPr>
    </w:p>
    <w:p w14:paraId="13DA39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最终输出的成品，是一份版式、字体、表格结构与园区公文规范完全一致的Word文档，可直接提交立项评审。由于每次生成前都是从当前模板读取占位符，后续模板更新也不会出现字段错位，立项材料编制从此告别反复修改的泥潭。</w:t>
      </w:r>
    </w:p>
    <w:p w14:paraId="1A5C6A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D817A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604135"/>
            <wp:effectExtent l="0" t="0" r="16510" b="12065"/>
            <wp:docPr id="39" name="图片 3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2" descr="undefin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369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5"/>
          <w:szCs w:val="25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595959"/>
          <w:spacing w:val="0"/>
          <w:sz w:val="21"/>
          <w:szCs w:val="21"/>
          <w:u w:val="none"/>
        </w:rPr>
        <w:t>保留占位符的草稿版</w:t>
      </w:r>
    </w:p>
    <w:p w14:paraId="1ED765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A233B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04135"/>
            <wp:effectExtent l="0" t="0" r="16510" b="12065"/>
            <wp:docPr id="40" name="图片 33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 descr="IMG_2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D9C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color w:val="595959"/>
          <w:sz w:val="21"/>
          <w:szCs w:val="21"/>
        </w:rPr>
        <w:t>不含占位符的正式版本</w:t>
      </w:r>
    </w:p>
    <w:p w14:paraId="502E60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01D0E7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03 投资合同审核：跨文件联审，风险点精准定位</w:t>
      </w:r>
    </w:p>
    <w:p w14:paraId="1BB88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6971C3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投资项目进入交割前，投资方需要逐条审查增资协议、股东协议、公司章程、补充协议等整套交易文件，确保每一项条款都没有疑义，且条款之间不存在相互冲突。过去，法务和投资经理们要同时打开多份合同逐字逐句比对，手动查找条款冲突和法律风险，不仅极易遗漏跨文件矛盾，而且稍有疏忽就可能放过某处关键风险点，后续谈判时才发现问题，往往为时已晚。</w:t>
      </w:r>
    </w:p>
    <w:p w14:paraId="156026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161BD3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而引入华清智言Agent OS的投资合同审核功能后，投资团队成员只需将整套DOCX交易文件上传，系统便会先分别提取各份文件的事实台账，跨文件比对金额、主体、期限、触发条件和效力顺序，识别单份文件看不出来的跨文件冲突；随后从投资方视角逐项审查投资金额、估值、交割条件、股东权利、董事席位、保护性条款、对赌回购、违约责任和退出安排，并将合同事实整理成法律问题，通过法律知识库检索匹配法条依据，检索不到充分依据时，明确要求人工复核，绝不虚构法条。</w:t>
      </w:r>
    </w:p>
    <w:p w14:paraId="17AB5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6E1EA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43" name="图片 3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 descr="undefin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C962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5226FFA">
      <w:pPr>
        <w:keepNext w:val="0"/>
        <w:keepLines w:val="0"/>
        <w:widowControl/>
        <w:suppressLineNumbers w:val="0"/>
        <w:jc w:val="left"/>
      </w:pPr>
    </w:p>
    <w:p w14:paraId="5426C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对于每一处风险，系统都会生成结构化批注清单，记录风险编号、原文行号、目标短语、风险等级、问题描述、潜在影响、修改建议和法条依据，形成完整的审核工作底稿。</w:t>
      </w:r>
    </w:p>
    <w:p w14:paraId="52206B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0029C2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最后，Agent会在原合同问题语句上直接生成Word原生批注，输出带有精准批注的合同文档。每处批注都定位到具体句子或短语，用户打开Word就能直接看到哪里有问题、为什么有问题、建议怎么改，让交易文件审查从繁琐的逐字比对中解放出来，变得更加精准高效。</w:t>
      </w:r>
    </w:p>
    <w:p w14:paraId="6BDF0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33416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04135"/>
            <wp:effectExtent l="0" t="0" r="16510" b="12065"/>
            <wp:docPr id="42" name="图片 36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6" descr="IMG_2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B6A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B8DBB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安全可控：四层硬约束，用技术隔绝风险</w:t>
      </w:r>
    </w:p>
    <w:p w14:paraId="0472F1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321726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华清智言Agent OS有着</w: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  <w:u w:val="none"/>
        </w:rPr>
        <w:instrText xml:space="preserve"> HYPERLINK "https://mp.weixin.qq.com/s?__biz=Mzk0MTg3MzI5OA==&amp;mid=2247483902&amp;idx=1&amp;sn=d36cc411b822cd247c05d2b6f9891a03&amp;scene=21" \l "wechat_redirect" \t "/Users/liaosenhua/Documents\\x/_blank" </w:instrTex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separate"/>
      </w:r>
      <w:r>
        <w:rPr>
          <w:rStyle w:val="6"/>
          <w:rFonts w:hint="default" w:ascii="arial" w:hAnsi="arial" w:cs="arial"/>
          <w:color w:val="auto"/>
          <w:sz w:val="24"/>
          <w:szCs w:val="24"/>
          <w:u w:val="none"/>
        </w:rPr>
        <w:t>安全可控、成本更低、越用越聪明</w:t>
      </w:r>
      <w:r>
        <w:rPr>
          <w:rFonts w:hint="default" w:ascii="arial" w:hAnsi="arial" w:cs="arial"/>
          <w:color w:val="auto"/>
          <w:sz w:val="24"/>
          <w:szCs w:val="24"/>
          <w:u w:val="none"/>
        </w:rPr>
        <w:fldChar w:fldCharType="end"/>
      </w:r>
      <w:r>
        <w:rPr>
          <w:rFonts w:hint="default" w:ascii="arial" w:hAnsi="arial" w:cs="arial"/>
          <w:color w:val="000000"/>
          <w:sz w:val="24"/>
          <w:szCs w:val="24"/>
        </w:rPr>
        <w:t>三大核心亮点。在差旅报销场景中，“越用越聪明”的自进化机制，让报销助手能够持续沉淀业务经验，逐步减少复核轮次。而在投资业务场景中，则是由硬性机制保障的安全可控撑起了整个应用场景落地的根基。</w:t>
      </w:r>
    </w:p>
    <w:p w14:paraId="38B2D5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444FAC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</w:pPr>
      <w:r>
        <w:rPr>
          <w:rFonts w:hint="default" w:ascii="arial" w:hAnsi="arial" w:cs="arial"/>
          <w:color w:val="000000"/>
          <w:sz w:val="24"/>
          <w:szCs w:val="24"/>
        </w:rPr>
        <w:t>    投资业务涉及大量敏感信息：拟投企业的商业机密、未公开的财务数据、国资基金的出资安排、返投比例等政策性条款，任何一次数据泄露或信息误操作，都可能造成难以挽回的损失。因此，在投资业务场景中，华清智言Agent OS从底层架构到输出机制，每一层都设置了一道安全闸门。</w:t>
      </w:r>
    </w:p>
    <w:p w14:paraId="0E1A14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4FC8663">
      <w:pPr>
        <w:keepNext w:val="0"/>
        <w:keepLines w:val="0"/>
        <w:widowControl/>
        <w:suppressLineNumbers w:val="0"/>
        <w:jc w:val="left"/>
      </w:pPr>
    </w:p>
    <w:p w14:paraId="45A0A2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在底层，系统支持算力一体机本地部署，插电通网即可开箱即用，所有项目材料、企业数据、研判过程、合同文本全程在本地处理，从根源上满足“数据不出域”的合规要求，杜绝敏感信息上传公有云的风险。</w:t>
      </w:r>
    </w:p>
    <w:p w14:paraId="50943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E9561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726055"/>
            <wp:effectExtent l="0" t="0" r="16510" b="17145"/>
            <wp:docPr id="33" name="图片 3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8" descr="undefin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6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58BA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在处理层，系统严格执行数据脱敏。Agent在调用外部数据工具查询企业信息时，仅提取研判所需的结构化字段，不缓存、不传播原始材料中的敏感内容；内部流转过程中，涉密数据始终处于受控状态，持有对应权限的成员才可访问数据，确保即使多人协作也不会扩大知情范围。</w:t>
      </w:r>
    </w:p>
    <w:p w14:paraId="4AC21F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3CC82B7">
      <w:pPr>
        <w:keepNext w:val="0"/>
        <w:keepLines w:val="0"/>
        <w:widowControl/>
        <w:suppressLineNumbers w:val="0"/>
        <w:jc w:val="left"/>
      </w:pPr>
    </w:p>
    <w:p w14:paraId="604C00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在AI行为层，系统通过证据来源等级和冲突处理规则，严禁编造信息。立项文书起草时，未提供的财务数据必须明确留空并说明原因，禁止根据BP描述或行业估算补造数字；合同审核时，法律知识库检索不到充分依据时，必须提示人工复核，绝不虚构法条。这种“查不到就认，不知道就停”的硬约束，有效保证了输出的内容有真实来源、有具体依据，降低合规风险。</w:t>
      </w:r>
    </w:p>
    <w:p w14:paraId="22646F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9B230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599055"/>
            <wp:effectExtent l="0" t="0" r="16510" b="17145"/>
            <wp:docPr id="32" name="图片 41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1" descr="IMG_2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5873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BDFDFCC">
      <w:pPr>
        <w:keepNext w:val="0"/>
        <w:keepLines w:val="0"/>
        <w:widowControl/>
        <w:suppressLineNumbers w:val="0"/>
        <w:jc w:val="left"/>
      </w:pPr>
    </w:p>
    <w:p w14:paraId="0D9B2B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在输出层，系统采用原子提交机制。立项文书先写入受控临时文档，通过ZIP、XML、命名空间和残留占位符检查后再正式落盘，一旦校验失败立即回滚，绝不留下半成品；合同审核只添加Word原生批注，不改动原合同正文，也不在末尾追加审核报告，确保输出物的法律效力和完整性不受任何影响。</w:t>
      </w:r>
    </w:p>
    <w:p w14:paraId="7F6BCC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64815"/>
            <wp:effectExtent l="0" t="0" r="16510" b="6985"/>
            <wp:docPr id="30" name="图片 43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3" descr="IMG_2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drawing>
          <wp:inline distT="0" distB="0" distL="114300" distR="114300">
            <wp:extent cx="5266690" cy="2609215"/>
            <wp:effectExtent l="0" t="0" r="16510" b="6985"/>
            <wp:docPr id="44" name="图片 44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EB86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01E99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正是这一整套从数据入口到文件出口的全链路硬约束，让科学园投资团队敢于把核心工作交给Agent OS处理：每推进一步都有边界、有留痕、有兜底，在释放效率的同时，守住了投资业务不可逾越的安全性、真实性底线。</w:t>
      </w:r>
    </w:p>
    <w:p w14:paraId="765E74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</w:p>
    <w:p w14:paraId="322469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560"/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arial" w:hAnsi="arial" w:cs="arial"/>
          <w:color w:val="000000"/>
          <w:sz w:val="24"/>
          <w:szCs w:val="24"/>
        </w:rPr>
        <w:t>从差旅报销到投资业务，华清智言Agent OS正在把“安全可控、成本更低、越用越聪明”的能力，一步步嵌入雄安科学园的真实工作流中。投资业务场景的发布，标志着华清智言Agent OS的能力又上了一个台阶：从协助整理发票的小助理，升级成了一位能搜集外部资料，研判材料风险，给出决策建议的数字顾问。接下来，华清智言Agent OS还将探索更多业务场景，解锁一个又一个新身份，敬请期待。</w:t>
      </w:r>
    </w:p>
    <w:p w14:paraId="199127F2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5EA75D"/>
    <w:rsid w:val="7BCB9755"/>
    <w:rsid w:val="7CFF2228"/>
    <w:rsid w:val="7EA8FB2D"/>
    <w:rsid w:val="EB3FC96E"/>
    <w:rsid w:val="EF7FA315"/>
    <w:rsid w:val="F65EA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2026-09-08T10:20:00Z</dcterms:created>
  <dc:creator>廖森桦</dc:creator>
  <cp:lastModifiedBy>廖森桦</cp:lastModifiedBy>
  <dcterms:modified xsi:type="dcterms:W3CDTF">2026-09-09T15:48:25Z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B37C04E9C0C1AACCE18F9E6A9224BE5C_41</vt:lpwstr>
  </property>
</Properties>
</file>