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3864"/>
          <w:sz w:val="32"/>
          <w:szCs w:val="32"/>
        </w:rPr>
        <w:t xml:space="preserve">DEVELOPPEMENT DE LA NOUVELLE PLATEFORME E-GUCE 3G</w:t>
      </w:r>
    </w:p>
    <w:p>
      <w:pPr>
        <w:spacing w:after="200"/>
        <w:jc w:val="center"/>
      </w:pPr>
      <w:r>
        <w:rPr>
          <w:b/>
          <w:bCs/>
          <w:color w:val="1F3864"/>
          <w:sz w:val="24"/>
          <w:szCs w:val="24"/>
        </w:rPr>
        <w:t xml:space="preserve">COMPOSANTE BI-BIG DATA</w:t>
      </w:r>
    </w:p>
    <w:p>
      <w:pPr>
        <w:spacing w:after="200"/>
        <w:jc w:val="center"/>
      </w:pPr>
      <w:r>
        <w:rPr>
          <w:b/>
          <w:bCs/>
          <w:color w:val="1F3864"/>
          <w:sz w:val="24"/>
          <w:szCs w:val="24"/>
        </w:rPr>
        <w:t xml:space="preserve">CR synthétique – Atelier interne Data 1 du 14/03/2025 :</w:t>
      </w:r>
    </w:p>
    <w:p>
      <w:pPr>
        <w:spacing w:after="600"/>
        <w:jc w:val="center"/>
      </w:pPr>
      <w:r>
        <w:rPr>
          <w:b/>
          <w:bCs/>
          <w:color w:val="1F3864"/>
          <w:sz w:val="24"/>
          <w:szCs w:val="24"/>
        </w:rPr>
        <w:t xml:space="preserve">Catalogue des données – Modèles de données</w:t>
      </w:r>
    </w:p>
    <w:p>
      <w:pPr>
        <w:spacing w:after="600"/>
        <w:jc w:val="center"/>
      </w:pPr>
      <w:r>
        <w:rPr>
          <w:i/>
          <w:iCs/>
          <w:sz w:val="20"/>
          <w:szCs w:val="20"/>
        </w:rPr>
        <w:t xml:space="preserve">Version 0.1</w:t>
      </w:r>
    </w:p>
    <w:p>
      <w:pPr>
        <w:spacing w:after="200" w:before="1600"/>
        <w:jc w:val="center"/>
      </w:pPr>
      <w:r>
        <w:drawing>
          <wp:inline distT="0" distB="0" distL="0" distR="0">
            <wp:extent cx="28575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885825"/>
                    </a:xfrm>
                    <a:prstGeom prst="rect">
                      <a:avLst/>
                    </a:prstGeom>
                  </pic:spPr>
                </pic:pic>
              </a:graphicData>
            </a:graphic>
          </wp:inline>
        </w:drawing>
      </w:r>
    </w:p>
    <w:p>
      <w:pPr>
        <w:spacing w:after="1600" w:before="400"/>
        <w:jc w:val="center"/>
      </w:pPr>
      <w:r>
        <w:drawing>
          <wp:inline distT="0" distB="0" distL="0" distR="0">
            <wp:extent cx="2095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28625"/>
                    </a:xfrm>
                    <a:prstGeom prst="rect">
                      <a:avLst/>
                    </a:prstGeom>
                  </pic:spPr>
                </pic:pic>
              </a:graphicData>
            </a:graphic>
          </wp:inline>
        </w:drawing>
      </w:r>
    </w:p>
    <w:p>
      <w:pPr>
        <w:spacing w:before="1600"/>
        <w:jc w:val="center"/>
      </w:pPr>
      <w:r>
        <w:rPr>
          <w:sz w:val="20"/>
          <w:szCs w:val="20"/>
        </w:rPr>
        <w:t xml:space="preserve">Mars 2025</w:t>
      </w:r>
    </w:p>
    <w:p>
      <w:pPr>
        <w:sectPr>
          <w:pgSz w:w="11906" w:h="16838" w:orient="portrait"/>
          <w:pgMar w:top="1440" w:right="1440" w:bottom="1440" w:left="1440" w:header="708" w:footer="708"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14/03/2025</w:t>
            </w:r>
          </w:p>
        </w:tc>
      </w:tr>
    </w:tbl>
    <w:p>
      <w:pPr>
        <w:spacing w:after="200" w:before="400"/>
      </w:pPr>
      <w:r>
        <w:rPr>
          <w:b/>
          <w:bCs/>
          <w:color w:val="1F3864"/>
          <w:sz w:val="24"/>
          <w:szCs w:val="24"/>
        </w:rPr>
        <w:t xml:space="preserve">Historique des révisions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1400"/>
        <w:gridCol w:w="1400"/>
        <w:gridCol w:w="1038"/>
      </w:tblGrid>
      <w:tr>
        <w:trPr>
          <w:tblHeader/>
        </w:trPr>
        <w:tc>
          <w:tcPr>
            <w:tcW w:type="dxa" w:w="1200"/>
            <w:shd w:fill="000000" w:val="clear"/>
          </w:tcPr>
          <w:p>
            <w:r>
              <w:rPr>
                <w:b/>
                <w:bCs/>
                <w:color w:val="FFFFFF"/>
                <w:sz w:val="18"/>
                <w:szCs w:val="18"/>
              </w:rPr>
              <w:t xml:space="preserve">Version</w:t>
            </w:r>
          </w:p>
        </w:tc>
        <w:tc>
          <w:tcPr>
            <w:tcW w:type="dxa" w:w="1800"/>
            <w:shd w:fill="000000" w:val="clear"/>
          </w:tcPr>
          <w:p>
            <w:r>
              <w:rPr>
                <w:b/>
                <w:bCs/>
                <w:color w:val="FFFFFF"/>
                <w:sz w:val="18"/>
                <w:szCs w:val="18"/>
              </w:rPr>
              <w:t xml:space="preserve">Modifié par</w:t>
            </w:r>
          </w:p>
        </w:tc>
        <w:tc>
          <w:tcPr>
            <w:tcW w:type="dxa" w:w="2800"/>
            <w:shd w:fill="000000" w:val="clear"/>
          </w:tcPr>
          <w:p>
            <w:r>
              <w:rPr>
                <w:b/>
                <w:bCs/>
                <w:color w:val="FFFFFF"/>
                <w:sz w:val="18"/>
                <w:szCs w:val="18"/>
              </w:rPr>
              <w:t xml:space="preserve">Description</w:t>
            </w:r>
          </w:p>
        </w:tc>
        <w:tc>
          <w:tcPr>
            <w:tcW w:type="dxa" w:w="1400"/>
            <w:shd w:fill="000000" w:val="clear"/>
          </w:tcPr>
          <w:p>
            <w:r>
              <w:rPr>
                <w:b/>
                <w:bCs/>
                <w:color w:val="FFFFFF"/>
                <w:sz w:val="18"/>
                <w:szCs w:val="18"/>
              </w:rPr>
              <w:t xml:space="preserve">Date</w:t>
            </w:r>
          </w:p>
        </w:tc>
        <w:tc>
          <w:tcPr>
            <w:tcW w:type="dxa" w:w="1400"/>
            <w:shd w:fill="000000" w:val="clear"/>
          </w:tcPr>
          <w:p>
            <w:r>
              <w:rPr>
                <w:b/>
                <w:bCs/>
                <w:color w:val="FFFFFF"/>
                <w:sz w:val="18"/>
                <w:szCs w:val="18"/>
              </w:rPr>
              <w:t xml:space="preserve">Validé par</w:t>
            </w:r>
          </w:p>
        </w:tc>
        <w:tc>
          <w:tcPr>
            <w:tcW w:type="dxa" w:w="1038"/>
            <w:shd w:fill="000000" w:val="clear"/>
          </w:tcPr>
          <w:p>
            <w:r>
              <w:rPr>
                <w:b/>
                <w:bCs/>
                <w:color w:val="FFFFFF"/>
                <w:sz w:val="18"/>
                <w:szCs w:val="18"/>
              </w:rPr>
              <w:t xml:space="preserve">Approbateur</w:t>
            </w:r>
          </w:p>
        </w:tc>
      </w:tr>
      <w:tr>
        <w:tc>
          <w:tcPr>
            <w:tcW w:type="dxa" w:w="1200"/>
          </w:tcPr>
          <w:p>
            <w:r>
              <w:rPr>
                <w:sz w:val="18"/>
                <w:szCs w:val="18"/>
              </w:rPr>
              <w:t xml:space="preserve">V0.1</w:t>
            </w:r>
          </w:p>
        </w:tc>
        <w:tc>
          <w:tcPr>
            <w:tcW w:type="dxa" w:w="1800"/>
          </w:tcPr>
          <w:p>
            <w:r>
              <w:rPr>
                <w:sz w:val="18"/>
                <w:szCs w:val="18"/>
              </w:rPr>
              <w:t xml:space="preserve">Wissal Tounsi</w:t>
            </w:r>
          </w:p>
        </w:tc>
        <w:tc>
          <w:tcPr>
            <w:tcW w:type="dxa" w:w="2800"/>
          </w:tcPr>
          <w:p>
            <w:r>
              <w:rPr>
                <w:sz w:val="18"/>
                <w:szCs w:val="18"/>
              </w:rPr>
              <w:t xml:space="preserve">Initiation du document</w:t>
            </w:r>
          </w:p>
        </w:tc>
        <w:tc>
          <w:tcPr>
            <w:tcW w:type="dxa" w:w="1400"/>
          </w:tcPr>
          <w:p>
            <w:r>
              <w:rPr>
                <w:sz w:val="18"/>
                <w:szCs w:val="18"/>
              </w:rPr>
              <w:t xml:space="preserve">14/03/2025</w:t>
            </w:r>
          </w:p>
        </w:tc>
        <w:tc>
          <w:tcPr>
            <w:tcW w:type="dxa" w:w="1400"/>
          </w:tcPr>
          <w:p>
            <w:r>
              <w:rPr>
                <w:sz w:val="18"/>
                <w:szCs w:val="18"/>
              </w:rPr>
              <w:t xml:space="preserve"/>
            </w:r>
          </w:p>
        </w:tc>
        <w:tc>
          <w:tcPr>
            <w:tcW w:type="dxa" w:w="1038"/>
          </w:tcPr>
          <w:p>
            <w:r>
              <w:rPr>
                <w:sz w:val="18"/>
                <w:szCs w:val="18"/>
              </w:rPr>
              <w:t xml:space="preserve"/>
            </w:r>
          </w:p>
        </w:tc>
      </w:tr>
      <w:tr>
        <w:tc>
          <w:tcPr>
            <w:tcW w:type="dxa" w:w="1200"/>
          </w:tcPr>
          <w:p>
            <w:r>
              <w:t xml:space="preserve"/>
            </w:r>
          </w:p>
        </w:tc>
        <w:tc>
          <w:tcPr>
            <w:tcW w:type="dxa" w:w="1800"/>
          </w:tcPr>
          <w:p>
            <w:r>
              <w:t xml:space="preserve"/>
            </w:r>
          </w:p>
        </w:tc>
        <w:tc>
          <w:tcPr>
            <w:tcW w:type="dxa" w:w="2800"/>
          </w:tcPr>
          <w:p>
            <w:r>
              <w:t xml:space="preserve"/>
            </w:r>
          </w:p>
        </w:tc>
        <w:tc>
          <w:tcPr>
            <w:tcW w:type="dxa" w:w="1400"/>
          </w:tcPr>
          <w:p>
            <w:r>
              <w:t xml:space="preserve"/>
            </w:r>
          </w:p>
        </w:tc>
        <w:tc>
          <w:tcPr>
            <w:tcW w:type="dxa" w:w="1400"/>
          </w:tcPr>
          <w:p>
            <w:r>
              <w:t xml:space="preserve"/>
            </w:r>
          </w:p>
        </w:tc>
        <w:tc>
          <w:tcPr>
            <w:tcW w:type="dxa" w:w="1038"/>
          </w:tcPr>
          <w:p>
            <w:r>
              <w:t xml:space="preserve"/>
            </w:r>
          </w:p>
        </w:tc>
      </w:tr>
    </w:tbl>
    <w:p>
      <w:pPr>
        <w:spacing w:after="200" w:before="500"/>
      </w:pPr>
      <w:r>
        <w:rPr>
          <w:b/>
          <w:bCs/>
          <w:color w:val="1F3864"/>
          <w:sz w:val="24"/>
          <w:szCs w:val="24"/>
        </w:rPr>
        <w:t xml:space="preserve">Liste de 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tblHeader/>
        </w:trPr>
        <w:tc>
          <w:tcPr>
            <w:tcW w:type="dxa" w:w="3213"/>
            <w:shd w:fill="000000" w:val="clear"/>
          </w:tcPr>
          <w:p>
            <w:pPr>
              <w:jc w:val="center"/>
            </w:pPr>
            <w:r>
              <w:rPr>
                <w:b/>
                <w:bCs/>
                <w:color w:val="FFFFFF"/>
                <w:sz w:val="18"/>
                <w:szCs w:val="18"/>
              </w:rPr>
              <w:t xml:space="preserve">Nom</w:t>
            </w:r>
          </w:p>
        </w:tc>
        <w:tc>
          <w:tcPr>
            <w:tcW w:type="dxa" w:w="3213"/>
            <w:shd w:fill="000000" w:val="clear"/>
          </w:tcPr>
          <w:p>
            <w:pPr>
              <w:jc w:val="center"/>
            </w:pPr>
            <w:r>
              <w:rPr>
                <w:b/>
                <w:bCs/>
                <w:color w:val="FFFFFF"/>
                <w:sz w:val="18"/>
                <w:szCs w:val="18"/>
              </w:rPr>
              <w:t xml:space="preserve">Fonction</w:t>
            </w:r>
          </w:p>
        </w:tc>
        <w:tc>
          <w:tcPr>
            <w:tcW w:type="dxa" w:w="3213"/>
            <w:shd w:fill="000000" w:val="clear"/>
          </w:tcPr>
          <w:p>
            <w:pPr>
              <w:jc w:val="center"/>
            </w:pPr>
            <w:r>
              <w:rPr>
                <w:b/>
                <w:bCs/>
                <w:color w:val="FFFFFF"/>
                <w:sz w:val="18"/>
                <w:szCs w:val="18"/>
              </w:rPr>
              <w:t xml:space="preserve">Date</w:t>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14/03/2025</w:t>
            </w:r>
          </w:p>
        </w:tc>
      </w:tr>
    </w:tbl>
    <w:p>
      <w:pPr>
        <w:spacing w:after="300" w:before="500"/>
        <w:jc w:val="center"/>
      </w:pPr>
      <w:r>
        <w:rPr>
          <w:b/>
          <w:bCs/>
          <w:color w:val="1F3864"/>
          <w:sz w:val="28"/>
          <w:szCs w:val="28"/>
        </w:rPr>
        <w:t xml:space="preserve">SOMMAIRE</w:t>
      </w:r>
    </w:p>
    <w:p>
      <w:pPr>
        <w:spacing w:after="150"/>
      </w:pPr>
      <w:r>
        <w:t xml:space="preserve">1. Objectif de l'atelier ...................................................................................... 4</w:t>
      </w:r>
    </w:p>
    <w:p>
      <w:pPr>
        <w:spacing w:after="150"/>
      </w:pPr>
      <w:r>
        <w:t xml:space="preserve">2. Synthèse des échanges .................................................................................. 4</w:t>
      </w:r>
    </w:p>
    <w:p>
      <w:pPr>
        <w:spacing w:after="150"/>
      </w:pPr>
      <w:r>
        <w:t xml:space="preserve">3. Décisions et actions à mener ......................................................................... 5</w:t>
      </w:r>
    </w:p>
    <w:p>
      <w:pPr>
        <w:spacing w:after="100"/>
        <w:ind w:left="400"/>
      </w:pPr>
      <w:r>
        <w:t xml:space="preserve">3.1 Actions à la charge de GUCE ................................................................... 5</w:t>
      </w:r>
    </w:p>
    <w:p>
      <w:pPr>
        <w:spacing w:after="100"/>
        <w:ind w:left="400"/>
      </w:pPr>
      <w:r>
        <w:t xml:space="preserve">3.2 Actions conjointes GUCE / DSI ................................................................ 5</w:t>
      </w:r>
    </w:p>
    <w:p>
      <w:pPr>
        <w:spacing w:after="100"/>
        <w:ind w:left="400"/>
      </w:pPr>
      <w:r>
        <w:t xml:space="preserve">3.3 Actions à la charge de l'équipe Data ......................................................... 5</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14/03/2025</w:t>
            </w:r>
          </w:p>
        </w:tc>
      </w:tr>
    </w:tbl>
    <w:p>
      <w:pPr>
        <w:pStyle w:val="Heading1"/>
        <w:spacing w:after="200" w:before="400"/>
      </w:pPr>
      <w:r>
        <w:rPr>
          <w:b/>
          <w:bCs/>
          <w:color w:val="1F3864"/>
          <w:sz w:val="26"/>
          <w:szCs w:val="26"/>
        </w:rPr>
        <w:t xml:space="preserve">1. Objectif de l'atelier</w:t>
      </w:r>
    </w:p>
    <w:p>
      <w:pPr>
        <w:spacing w:after="200"/>
        <w:jc w:val="both"/>
      </w:pPr>
      <w:r>
        <w:rPr>
          <w:sz w:val="21"/>
          <w:szCs w:val="21"/>
        </w:rPr>
        <w:t xml:space="preserve">Cet atelier avait pour objectif principal de faire un point d'avancement sur les éléments transmis par GUCE dans le cadre du catalogue de données, notamment les schémas des bases de données, et de partager l'état d'avancement des travaux côté GUCE.</w:t>
      </w:r>
    </w:p>
    <w:p>
      <w:pPr>
        <w:spacing w:after="200"/>
        <w:jc w:val="both"/>
      </w:pPr>
      <w:r>
        <w:rPr>
          <w:sz w:val="21"/>
          <w:szCs w:val="21"/>
        </w:rPr>
        <w:t xml:space="preserve">Il visait également à aligner les parties prenantes sur la démarche retenue pour l'analyse des données, la construction du data model et les prérequis nécessaires au démarrage effectif du POC.</w:t>
      </w:r>
    </w:p>
    <w:p>
      <w:pPr>
        <w:pStyle w:val="Heading1"/>
        <w:spacing w:after="200" w:before="300"/>
      </w:pPr>
      <w:r>
        <w:rPr>
          <w:b/>
          <w:bCs/>
          <w:color w:val="1F3864"/>
          <w:sz w:val="26"/>
          <w:szCs w:val="26"/>
        </w:rPr>
        <w:t xml:space="preserve">2. Synthèse des échanges</w:t>
      </w:r>
    </w:p>
    <w:p>
      <w:pPr>
        <w:spacing w:after="200"/>
        <w:jc w:val="both"/>
      </w:pPr>
      <w:r>
        <w:rPr>
          <w:sz w:val="21"/>
          <w:szCs w:val="21"/>
        </w:rPr>
        <w:t xml:space="preserve">Les schémas des bases de données majeures (WEBGUCE, ORCHESTRA, SIAT, PAYONLINE) transmis par GUCE ont été analysés d'un point de vue structurel. Cette analyse repose à ce stade uniquement sur les structures techniques (tables, colonnes, types de données), en l'absence des descriptions métier détaillées et d'un accès aux données réelles.</w:t>
      </w:r>
    </w:p>
    <w:p>
      <w:pPr>
        <w:spacing w:after="200"/>
        <w:jc w:val="both"/>
      </w:pPr>
      <w:r>
        <w:rPr>
          <w:sz w:val="21"/>
          <w:szCs w:val="21"/>
        </w:rPr>
        <w:t xml:space="preserve">Sur cette base, l'équipe data a présenté la démarche engagée pour initier un premier data model. Il a été précisé que ce modèle est volontairement préliminaire et a pour objectif principal de structurer la compréhension globale des données, préparer la mise en place du data lake et anticiper les besoins du POC. Il ne constitue pas un modèle définitif à ce stade.</w:t>
      </w:r>
    </w:p>
    <w:p>
      <w:pPr>
        <w:spacing w:after="200"/>
        <w:jc w:val="both"/>
      </w:pPr>
      <w:r>
        <w:rPr>
          <w:sz w:val="21"/>
          <w:szCs w:val="21"/>
        </w:rPr>
        <w:t xml:space="preserve">GUCE a confirmé que la description métier des tables et des colonnes, en particulier sur le périmètre prioritaire du POC, est en cours de préparation et sera transmise prochainement. Ces éléments sont identifiés comme indispensables pour affiner le data model, valider les relations entre les données et sécuriser les futurs traitements.</w:t>
      </w:r>
    </w:p>
    <w:p>
      <w:pPr>
        <w:spacing w:after="200"/>
        <w:jc w:val="both"/>
      </w:pPr>
      <w:r>
        <w:rPr>
          <w:sz w:val="21"/>
          <w:szCs w:val="21"/>
        </w:rPr>
        <w:t xml:space="preserve">Les échanges ont également porté sur la nécessité de disposer d'échantillons de données réelles afin de pouvoir tester concrètement les cas d'usage du POC. Il a été rappelé que, pour certains use cases, notamment ceux liés aux processus métiers et aux documents, l'utilisation de données synthétiques présente des limites.</w:t>
      </w:r>
    </w:p>
    <w:p>
      <w:pPr>
        <w:spacing w:after="200"/>
        <w:jc w:val="both"/>
      </w:pPr>
      <w:r>
        <w:rPr>
          <w:sz w:val="21"/>
          <w:szCs w:val="21"/>
        </w:rPr>
        <w:t xml:space="preserve">Enfin, le besoin de clarifier rapidement les aspects liés à l'environnement technique et à l'infrastructure data a été souligné, notamment en ce qui concerne les serveurs, les environnements de développement et les modalités d'accès aux bases de données.</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14/03/2025</w:t>
            </w:r>
          </w:p>
        </w:tc>
      </w:tr>
    </w:tbl>
    <w:p>
      <w:pPr>
        <w:pStyle w:val="Heading1"/>
        <w:spacing w:after="200" w:before="400"/>
      </w:pPr>
      <w:r>
        <w:rPr>
          <w:b/>
          <w:bCs/>
          <w:color w:val="1F3864"/>
          <w:sz w:val="26"/>
          <w:szCs w:val="26"/>
        </w:rPr>
        <w:t xml:space="preserve">3. Décisions et actions à mener</w:t>
      </w:r>
    </w:p>
    <w:p>
      <w:pPr>
        <w:spacing w:after="200"/>
        <w:jc w:val="both"/>
      </w:pPr>
      <w:r>
        <w:rPr>
          <w:sz w:val="21"/>
          <w:szCs w:val="21"/>
        </w:rPr>
        <w:t xml:space="preserve">À l'issue de l'atelier, les décisions suivantes ont été actées et les actions associées ont été identifiées.</w:t>
      </w:r>
    </w:p>
    <w:p>
      <w:pPr>
        <w:spacing w:after="150" w:before="200"/>
      </w:pPr>
      <w:r>
        <w:rPr>
          <w:b/>
          <w:bCs/>
          <w:i/>
          <w:iCs/>
          <w:sz w:val="22"/>
          <w:szCs w:val="22"/>
        </w:rPr>
        <w:t xml:space="preserve">3.1 Actions à la charge de GUCE</w:t>
      </w:r>
    </w:p>
    <w:p>
      <w:pPr>
        <w:pStyle w:val="ListParagraph"/>
        <w:numPr>
          <w:ilvl w:val="0"/>
          <w:numId w:val="1"/>
        </w:numPr>
        <w:spacing w:after="120"/>
      </w:pPr>
      <w:r>
        <w:rPr>
          <w:sz w:val="21"/>
          <w:szCs w:val="21"/>
        </w:rPr>
        <w:t xml:space="preserve">Transmettre la description métier des tables et des colonnes pour les bases de données concernées, en priorité sur le périmètre des use cases retenues pour le POC.</w:t>
      </w:r>
    </w:p>
    <w:p>
      <w:pPr>
        <w:spacing w:after="150" w:before="250"/>
      </w:pPr>
      <w:r>
        <w:rPr>
          <w:b/>
          <w:bCs/>
          <w:i/>
          <w:iCs/>
          <w:sz w:val="22"/>
          <w:szCs w:val="22"/>
        </w:rPr>
        <w:t xml:space="preserve">3.2 Actions conjointes GUCE / DSI</w:t>
      </w:r>
    </w:p>
    <w:p>
      <w:pPr>
        <w:pStyle w:val="ListParagraph"/>
        <w:numPr>
          <w:ilvl w:val="0"/>
          <w:numId w:val="1"/>
        </w:numPr>
        <w:spacing w:after="120"/>
      </w:pPr>
      <w:r>
        <w:rPr>
          <w:sz w:val="21"/>
          <w:szCs w:val="21"/>
        </w:rPr>
        <w:t xml:space="preserve">Examiner la disponibilité des serveurs et définir les environnements techniques nécessaires pour les travaux data et POC.</w:t>
      </w:r>
    </w:p>
    <w:p>
      <w:pPr>
        <w:pStyle w:val="ListParagraph"/>
        <w:numPr>
          <w:ilvl w:val="0"/>
          <w:numId w:val="1"/>
        </w:numPr>
        <w:spacing w:after="120"/>
      </w:pPr>
      <w:r>
        <w:rPr>
          <w:sz w:val="21"/>
          <w:szCs w:val="21"/>
        </w:rPr>
        <w:t xml:space="preserve">Clarifier les modalités d'accès aux bases de données (accès direct, extraction, ou mise à disposition d'échantillons de données).</w:t>
      </w:r>
    </w:p>
    <w:p>
      <w:pPr>
        <w:spacing w:after="150" w:before="250"/>
      </w:pPr>
      <w:r>
        <w:rPr>
          <w:b/>
          <w:bCs/>
          <w:i/>
          <w:iCs/>
          <w:sz w:val="22"/>
          <w:szCs w:val="22"/>
        </w:rPr>
        <w:t xml:space="preserve">3.3 Actions à la charge de l'équipe Data</w:t>
      </w:r>
    </w:p>
    <w:p>
      <w:pPr>
        <w:pStyle w:val="ListParagraph"/>
        <w:numPr>
          <w:ilvl w:val="0"/>
          <w:numId w:val="1"/>
        </w:numPr>
        <w:spacing w:after="120"/>
      </w:pPr>
      <w:r>
        <w:rPr>
          <w:sz w:val="21"/>
          <w:szCs w:val="21"/>
        </w:rPr>
        <w:t xml:space="preserve">Poursuivre l'analyse des schémas de bases de données transmis et consolider une première version du data model cible, sur la base des informations techniques disponibles.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tabs>
        <w:tab w:val="right" w:pos="9026"/>
      </w:tabs>
    </w:pPr>
    <w:r>
      <w:rPr>
        <w:i/>
        <w:iCs/>
        <w:sz w:val="18"/>
        <w:szCs w:val="18"/>
      </w:rPr>
      <w:t xml:space="preserve">Composante « BI-BIG DATA »</w:t>
    </w:r>
    <w:r>
      <w:t xml:space="preserv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5f108d1660f08ebcf487a5f2717251d6463897d.jpg"/><Relationship Id="rId9" Type="http://schemas.openxmlformats.org/officeDocument/2006/relationships/image" Target="media/22027cdab1f624624185807b1d7d2b515ad9dea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Wissal Tounsi</dc:creator>
  <cp:lastModifiedBy>Un-named</cp:lastModifiedBy>
  <cp:revision>1</cp:revision>
  <dcterms:created xsi:type="dcterms:W3CDTF">2026-07-03T09:01:24.598Z</dcterms:created>
  <dcterms:modified xsi:type="dcterms:W3CDTF">2026-07-03T09:01:24.598Z</dcterms:modified>
</cp:coreProperties>
</file>

<file path=docProps/custom.xml><?xml version="1.0" encoding="utf-8"?>
<Properties xmlns="http://schemas.openxmlformats.org/officeDocument/2006/custom-properties" xmlns:vt="http://schemas.openxmlformats.org/officeDocument/2006/docPropsVTypes"/>
</file>