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F3864"/>
          <w:sz w:val="32"/>
          <w:szCs w:val="32"/>
        </w:rPr>
        <w:t xml:space="preserve">DEVELOPPEMENT DE LA NOUVELLE PLATEFORME E-GUCE 3G</w:t>
      </w:r>
    </w:p>
    <w:p>
      <w:pPr>
        <w:spacing w:after="200"/>
        <w:jc w:val="center"/>
      </w:pPr>
      <w:r>
        <w:rPr>
          <w:b/>
          <w:bCs/>
          <w:color w:val="1F3864"/>
          <w:sz w:val="24"/>
          <w:szCs w:val="24"/>
        </w:rPr>
        <w:t xml:space="preserve">COMPOSANTE BI-BIG DATA</w:t>
      </w:r>
    </w:p>
    <w:p>
      <w:pPr>
        <w:spacing w:after="200"/>
        <w:jc w:val="center"/>
      </w:pPr>
      <w:r>
        <w:rPr>
          <w:b/>
          <w:bCs/>
          <w:color w:val="1F3864"/>
          <w:sz w:val="24"/>
          <w:szCs w:val="24"/>
        </w:rPr>
        <w:t xml:space="preserve">CR synthétique – Atelier interne Data 3 du 11/04/2025 :</w:t>
      </w:r>
    </w:p>
    <w:p>
      <w:pPr>
        <w:spacing w:after="600"/>
        <w:jc w:val="center"/>
      </w:pPr>
      <w:r>
        <w:rPr>
          <w:b/>
          <w:bCs/>
          <w:color w:val="1F3864"/>
          <w:sz w:val="24"/>
          <w:szCs w:val="24"/>
        </w:rPr>
        <w:t xml:space="preserve">Gouvernance des données – Rôles et responsabilités</w:t>
      </w:r>
    </w:p>
    <w:p>
      <w:pPr>
        <w:spacing w:after="600"/>
        <w:jc w:val="center"/>
      </w:pPr>
      <w:r>
        <w:rPr>
          <w:i/>
          <w:iCs/>
          <w:sz w:val="20"/>
          <w:szCs w:val="20"/>
        </w:rPr>
        <w:t xml:space="preserve">Version 0.1</w:t>
      </w:r>
    </w:p>
    <w:p>
      <w:pPr>
        <w:spacing w:after="200" w:before="1600"/>
        <w:jc w:val="center"/>
      </w:pPr>
      <w:r>
        <w:drawing>
          <wp:inline distT="0" distB="0" distL="0" distR="0">
            <wp:extent cx="28575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885825"/>
                    </a:xfrm>
                    <a:prstGeom prst="rect">
                      <a:avLst/>
                    </a:prstGeom>
                  </pic:spPr>
                </pic:pic>
              </a:graphicData>
            </a:graphic>
          </wp:inline>
        </w:drawing>
      </w:r>
    </w:p>
    <w:p>
      <w:pPr>
        <w:spacing w:after="1600" w:before="400"/>
        <w:jc w:val="center"/>
      </w:pPr>
      <w:r>
        <w:drawing>
          <wp:inline distT="0" distB="0" distL="0" distR="0">
            <wp:extent cx="2095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28625"/>
                    </a:xfrm>
                    <a:prstGeom prst="rect">
                      <a:avLst/>
                    </a:prstGeom>
                  </pic:spPr>
                </pic:pic>
              </a:graphicData>
            </a:graphic>
          </wp:inline>
        </w:drawing>
      </w:r>
    </w:p>
    <w:p>
      <w:pPr>
        <w:spacing w:before="1600"/>
        <w:jc w:val="center"/>
      </w:pPr>
      <w:r>
        <w:rPr>
          <w:sz w:val="20"/>
          <w:szCs w:val="20"/>
        </w:rPr>
        <w:t xml:space="preserve">Avril 2025</w:t>
      </w:r>
    </w:p>
    <w:p>
      <w:pPr>
        <w:sectPr>
          <w:pgSz w:w="11906" w:h="16838" w:orient="portrait"/>
          <w:pgMar w:top="1440" w:right="1440" w:bottom="1440" w:left="1440" w:header="708" w:footer="708"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11/04/2025</w:t>
            </w:r>
          </w:p>
        </w:tc>
      </w:tr>
    </w:tbl>
    <w:p>
      <w:pPr>
        <w:spacing w:after="200" w:before="400"/>
      </w:pPr>
      <w:r>
        <w:rPr>
          <w:b/>
          <w:bCs/>
          <w:color w:val="1F3864"/>
          <w:sz w:val="24"/>
          <w:szCs w:val="24"/>
        </w:rPr>
        <w:t xml:space="preserve">Historique des révisions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1400"/>
        <w:gridCol w:w="1400"/>
        <w:gridCol w:w="1038"/>
      </w:tblGrid>
      <w:tr>
        <w:trPr>
          <w:tblHeader/>
        </w:trPr>
        <w:tc>
          <w:tcPr>
            <w:tcW w:type="dxa" w:w="1200"/>
            <w:shd w:fill="000000" w:val="clear"/>
          </w:tcPr>
          <w:p>
            <w:r>
              <w:rPr>
                <w:b/>
                <w:bCs/>
                <w:color w:val="FFFFFF"/>
                <w:sz w:val="18"/>
                <w:szCs w:val="18"/>
              </w:rPr>
              <w:t xml:space="preserve">Version</w:t>
            </w:r>
          </w:p>
        </w:tc>
        <w:tc>
          <w:tcPr>
            <w:tcW w:type="dxa" w:w="1800"/>
            <w:shd w:fill="000000" w:val="clear"/>
          </w:tcPr>
          <w:p>
            <w:r>
              <w:rPr>
                <w:b/>
                <w:bCs/>
                <w:color w:val="FFFFFF"/>
                <w:sz w:val="18"/>
                <w:szCs w:val="18"/>
              </w:rPr>
              <w:t xml:space="preserve">Modifié par</w:t>
            </w:r>
          </w:p>
        </w:tc>
        <w:tc>
          <w:tcPr>
            <w:tcW w:type="dxa" w:w="2800"/>
            <w:shd w:fill="000000" w:val="clear"/>
          </w:tcPr>
          <w:p>
            <w:r>
              <w:rPr>
                <w:b/>
                <w:bCs/>
                <w:color w:val="FFFFFF"/>
                <w:sz w:val="18"/>
                <w:szCs w:val="18"/>
              </w:rPr>
              <w:t xml:space="preserve">Description</w:t>
            </w:r>
          </w:p>
        </w:tc>
        <w:tc>
          <w:tcPr>
            <w:tcW w:type="dxa" w:w="1400"/>
            <w:shd w:fill="000000" w:val="clear"/>
          </w:tcPr>
          <w:p>
            <w:r>
              <w:rPr>
                <w:b/>
                <w:bCs/>
                <w:color w:val="FFFFFF"/>
                <w:sz w:val="18"/>
                <w:szCs w:val="18"/>
              </w:rPr>
              <w:t xml:space="preserve">Date</w:t>
            </w:r>
          </w:p>
        </w:tc>
        <w:tc>
          <w:tcPr>
            <w:tcW w:type="dxa" w:w="1400"/>
            <w:shd w:fill="000000" w:val="clear"/>
          </w:tcPr>
          <w:p>
            <w:r>
              <w:rPr>
                <w:b/>
                <w:bCs/>
                <w:color w:val="FFFFFF"/>
                <w:sz w:val="18"/>
                <w:szCs w:val="18"/>
              </w:rPr>
              <w:t xml:space="preserve">Validé par</w:t>
            </w:r>
          </w:p>
        </w:tc>
        <w:tc>
          <w:tcPr>
            <w:tcW w:type="dxa" w:w="1038"/>
            <w:shd w:fill="000000" w:val="clear"/>
          </w:tcPr>
          <w:p>
            <w:r>
              <w:rPr>
                <w:b/>
                <w:bCs/>
                <w:color w:val="FFFFFF"/>
                <w:sz w:val="18"/>
                <w:szCs w:val="18"/>
              </w:rPr>
              <w:t xml:space="preserve">Approbateur</w:t>
            </w:r>
          </w:p>
        </w:tc>
      </w:tr>
      <w:tr>
        <w:tc>
          <w:tcPr>
            <w:tcW w:type="dxa" w:w="1200"/>
          </w:tcPr>
          <w:p>
            <w:r>
              <w:rPr>
                <w:sz w:val="18"/>
                <w:szCs w:val="18"/>
              </w:rPr>
              <w:t xml:space="preserve">V0.1</w:t>
            </w:r>
          </w:p>
        </w:tc>
        <w:tc>
          <w:tcPr>
            <w:tcW w:type="dxa" w:w="1800"/>
          </w:tcPr>
          <w:p>
            <w:r>
              <w:rPr>
                <w:sz w:val="18"/>
                <w:szCs w:val="18"/>
              </w:rPr>
              <w:t xml:space="preserve">Wissal Tounsi</w:t>
            </w:r>
          </w:p>
        </w:tc>
        <w:tc>
          <w:tcPr>
            <w:tcW w:type="dxa" w:w="2800"/>
          </w:tcPr>
          <w:p>
            <w:r>
              <w:rPr>
                <w:sz w:val="18"/>
                <w:szCs w:val="18"/>
              </w:rPr>
              <w:t xml:space="preserve">Initiation du document</w:t>
            </w:r>
          </w:p>
        </w:tc>
        <w:tc>
          <w:tcPr>
            <w:tcW w:type="dxa" w:w="1400"/>
          </w:tcPr>
          <w:p>
            <w:r>
              <w:rPr>
                <w:sz w:val="18"/>
                <w:szCs w:val="18"/>
              </w:rPr>
              <w:t xml:space="preserve">11/04/2025</w:t>
            </w:r>
          </w:p>
        </w:tc>
        <w:tc>
          <w:tcPr>
            <w:tcW w:type="dxa" w:w="1400"/>
          </w:tcPr>
          <w:p>
            <w:r>
              <w:rPr>
                <w:sz w:val="18"/>
                <w:szCs w:val="18"/>
              </w:rPr>
              <w:t xml:space="preserve"/>
            </w:r>
          </w:p>
        </w:tc>
        <w:tc>
          <w:tcPr>
            <w:tcW w:type="dxa" w:w="1038"/>
          </w:tcPr>
          <w:p>
            <w:r>
              <w:rPr>
                <w:sz w:val="18"/>
                <w:szCs w:val="18"/>
              </w:rPr>
              <w:t xml:space="preserve"/>
            </w:r>
          </w:p>
        </w:tc>
      </w:tr>
      <w:tr>
        <w:tc>
          <w:tcPr>
            <w:tcW w:type="dxa" w:w="1200"/>
          </w:tcPr>
          <w:p>
            <w:r>
              <w:t xml:space="preserve"/>
            </w:r>
          </w:p>
        </w:tc>
        <w:tc>
          <w:tcPr>
            <w:tcW w:type="dxa" w:w="1800"/>
          </w:tcPr>
          <w:p>
            <w:r>
              <w:t xml:space="preserve"/>
            </w:r>
          </w:p>
        </w:tc>
        <w:tc>
          <w:tcPr>
            <w:tcW w:type="dxa" w:w="2800"/>
          </w:tcPr>
          <w:p>
            <w:r>
              <w:t xml:space="preserve"/>
            </w:r>
          </w:p>
        </w:tc>
        <w:tc>
          <w:tcPr>
            <w:tcW w:type="dxa" w:w="1400"/>
          </w:tcPr>
          <w:p>
            <w:r>
              <w:t xml:space="preserve"/>
            </w:r>
          </w:p>
        </w:tc>
        <w:tc>
          <w:tcPr>
            <w:tcW w:type="dxa" w:w="1400"/>
          </w:tcPr>
          <w:p>
            <w:r>
              <w:t xml:space="preserve"/>
            </w:r>
          </w:p>
        </w:tc>
        <w:tc>
          <w:tcPr>
            <w:tcW w:type="dxa" w:w="1038"/>
          </w:tcPr>
          <w:p>
            <w:r>
              <w:t xml:space="preserve"/>
            </w:r>
          </w:p>
        </w:tc>
      </w:tr>
    </w:tbl>
    <w:p>
      <w:pPr>
        <w:spacing w:after="200" w:before="500"/>
      </w:pPr>
      <w:r>
        <w:rPr>
          <w:b/>
          <w:bCs/>
          <w:color w:val="1F3864"/>
          <w:sz w:val="24"/>
          <w:szCs w:val="24"/>
        </w:rPr>
        <w:t xml:space="preserve">Liste de 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tblHeader/>
        </w:trPr>
        <w:tc>
          <w:tcPr>
            <w:tcW w:type="dxa" w:w="3213"/>
            <w:shd w:fill="000000" w:val="clear"/>
          </w:tcPr>
          <w:p>
            <w:pPr>
              <w:jc w:val="center"/>
            </w:pPr>
            <w:r>
              <w:rPr>
                <w:b/>
                <w:bCs/>
                <w:color w:val="FFFFFF"/>
                <w:sz w:val="18"/>
                <w:szCs w:val="18"/>
              </w:rPr>
              <w:t xml:space="preserve">Nom</w:t>
            </w:r>
          </w:p>
        </w:tc>
        <w:tc>
          <w:tcPr>
            <w:tcW w:type="dxa" w:w="3213"/>
            <w:shd w:fill="000000" w:val="clear"/>
          </w:tcPr>
          <w:p>
            <w:pPr>
              <w:jc w:val="center"/>
            </w:pPr>
            <w:r>
              <w:rPr>
                <w:b/>
                <w:bCs/>
                <w:color w:val="FFFFFF"/>
                <w:sz w:val="18"/>
                <w:szCs w:val="18"/>
              </w:rPr>
              <w:t xml:space="preserve">Fonction</w:t>
            </w:r>
          </w:p>
        </w:tc>
        <w:tc>
          <w:tcPr>
            <w:tcW w:type="dxa" w:w="3213"/>
            <w:shd w:fill="000000" w:val="clear"/>
          </w:tcPr>
          <w:p>
            <w:pPr>
              <w:jc w:val="center"/>
            </w:pPr>
            <w:r>
              <w:rPr>
                <w:b/>
                <w:bCs/>
                <w:color w:val="FFFFFF"/>
                <w:sz w:val="18"/>
                <w:szCs w:val="18"/>
              </w:rPr>
              <w:t xml:space="preserve">Date</w:t>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r>
        <w:tc>
          <w:tcPr>
            <w:tcW w:type="dxa" w:w="3213"/>
          </w:tcPr>
          <w:p>
            <w:r>
              <w:t xml:space="preserve"/>
            </w:r>
          </w:p>
        </w:tc>
        <w:tc>
          <w:tcPr>
            <w:tcW w:type="dxa" w:w="3213"/>
          </w:tcPr>
          <w:p>
            <w:r>
              <w:t xml:space="preserve"/>
            </w:r>
          </w:p>
        </w:tc>
        <w:tc>
          <w:tcPr>
            <w:tcW w:type="dxa" w:w="3213"/>
          </w:tcPr>
          <w:p>
            <w:r>
              <w:t xml:space="preserve"/>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11/04/2025</w:t>
            </w:r>
          </w:p>
        </w:tc>
      </w:tr>
    </w:tbl>
    <w:p>
      <w:pPr>
        <w:spacing w:after="300" w:before="500"/>
        <w:jc w:val="center"/>
      </w:pPr>
      <w:r>
        <w:rPr>
          <w:b/>
          <w:bCs/>
          <w:color w:val="1F3864"/>
          <w:sz w:val="28"/>
          <w:szCs w:val="28"/>
        </w:rPr>
        <w:t xml:space="preserve">SOMMAIRE</w:t>
      </w:r>
    </w:p>
    <w:p>
      <w:pPr>
        <w:spacing w:after="150"/>
      </w:pPr>
      <w:r>
        <w:t xml:space="preserve">1. Objectif de l'atelier ...................................................................................... 4</w:t>
      </w:r>
    </w:p>
    <w:p>
      <w:pPr>
        <w:spacing w:after="150"/>
      </w:pPr>
      <w:r>
        <w:t xml:space="preserve">2. Synthèse des échanges .................................................................................. 4</w:t>
      </w:r>
    </w:p>
    <w:p>
      <w:pPr>
        <w:spacing w:after="150"/>
      </w:pPr>
      <w:r>
        <w:t xml:space="preserve">3. Décisions et actions à mener ......................................................................... 5</w:t>
      </w:r>
    </w:p>
    <w:p>
      <w:pPr>
        <w:spacing w:after="100"/>
        <w:ind w:left="400"/>
      </w:pPr>
      <w:r>
        <w:t xml:space="preserve">3.1 Actions à la charge de GUCE ................................................................... 5</w:t>
      </w:r>
    </w:p>
    <w:p>
      <w:pPr>
        <w:spacing w:after="100"/>
        <w:ind w:left="400"/>
      </w:pPr>
      <w:r>
        <w:t xml:space="preserve">3.2 Actions conjointes GUCE / DSI ................................................................ 5</w:t>
      </w:r>
    </w:p>
    <w:p>
      <w:pPr>
        <w:spacing w:after="100"/>
        <w:ind w:left="400"/>
      </w:pPr>
      <w:r>
        <w:t xml:space="preserve">3.3 Actions à la charge de l'équipe Data ......................................................... 5</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11/04/2025</w:t>
            </w:r>
          </w:p>
        </w:tc>
      </w:tr>
    </w:tbl>
    <w:p>
      <w:pPr>
        <w:pStyle w:val="Heading1"/>
        <w:spacing w:after="200" w:before="400"/>
      </w:pPr>
      <w:r>
        <w:rPr>
          <w:b/>
          <w:bCs/>
          <w:color w:val="1F3864"/>
          <w:sz w:val="26"/>
          <w:szCs w:val="26"/>
        </w:rPr>
        <w:t xml:space="preserve">1. Objectif de l'atelier</w:t>
      </w:r>
    </w:p>
    <w:p>
      <w:pPr>
        <w:spacing w:after="200"/>
        <w:jc w:val="both"/>
      </w:pPr>
      <w:r>
        <w:rPr>
          <w:sz w:val="21"/>
          <w:szCs w:val="21"/>
        </w:rPr>
        <w:t xml:space="preserve">Cet atelier avait pour objectif principal de poser les bases de la gouvernance des données dans le cadre du projet, notamment la définition des rôles, des responsabilités et des règles de qualité applicables aux données manipulées.</w:t>
      </w:r>
    </w:p>
    <w:p>
      <w:pPr>
        <w:spacing w:after="200"/>
        <w:jc w:val="both"/>
      </w:pPr>
      <w:r>
        <w:rPr>
          <w:sz w:val="21"/>
          <w:szCs w:val="21"/>
        </w:rPr>
        <w:t xml:space="preserve">Il visait également à identifier les référents métier nécessaires pour valider les données et leurs usages dans le cadre du POC.</w:t>
      </w:r>
    </w:p>
    <w:p>
      <w:pPr>
        <w:pStyle w:val="Heading1"/>
        <w:spacing w:after="200" w:before="300"/>
      </w:pPr>
      <w:r>
        <w:rPr>
          <w:b/>
          <w:bCs/>
          <w:color w:val="1F3864"/>
          <w:sz w:val="26"/>
          <w:szCs w:val="26"/>
        </w:rPr>
        <w:t xml:space="preserve">2. Synthèse des échanges</w:t>
      </w:r>
    </w:p>
    <w:p>
      <w:pPr>
        <w:spacing w:after="200"/>
        <w:jc w:val="both"/>
      </w:pPr>
      <w:r>
        <w:rPr>
          <w:sz w:val="21"/>
          <w:szCs w:val="21"/>
        </w:rPr>
        <w:t xml:space="preserve">L'équipe Data a présenté un premier cadre de gouvernance proposant une répartition des rôles entre propriétaires de données, référents métier et équipe technique. Ce cadre reste à valider et à ajuster en fonction de l'organisation interne de GUCE.</w:t>
      </w:r>
    </w:p>
    <w:p>
      <w:pPr>
        <w:spacing w:after="200"/>
        <w:jc w:val="both"/>
      </w:pPr>
      <w:r>
        <w:rPr>
          <w:sz w:val="21"/>
          <w:szCs w:val="21"/>
        </w:rPr>
        <w:t xml:space="preserve">Il a été souligné que l'absence de référents métier identifiés pour certains domaines de données constitue un point de vigilance, dans la mesure où ces référents seront nécessaires pour valider la qualité et la pertinence des données utilisées dans le POC.</w:t>
      </w:r>
    </w:p>
    <w:p>
      <w:pPr>
        <w:spacing w:after="200"/>
        <w:jc w:val="both"/>
      </w:pPr>
      <w:r>
        <w:rPr>
          <w:sz w:val="21"/>
          <w:szCs w:val="21"/>
        </w:rPr>
        <w:t xml:space="preserve">Les échanges ont également porté sur les règles minimales de qualité des données à mettre en place, notamment en matière de complétude, de cohérence et de traçabilité, ainsi que sur la nécessité de documenter les règles de gestion métier associées aux principales tables identifiées.</w:t>
      </w:r>
    </w:p>
    <w:p>
      <w:pPr>
        <w:spacing w:after="200"/>
        <w:jc w:val="both"/>
      </w:pPr>
      <w:r>
        <w:rPr>
          <w:sz w:val="21"/>
          <w:szCs w:val="21"/>
        </w:rPr>
        <w:t xml:space="preserve">Enfin, il a été rappelé que la gouvernance mise en place à ce stade reste volontairement légère et évolutive, l'objectif étant de l'ajuster progressivement au fil de l'avancement du projet plutôt que de chercher l'exhaustivité dès le démarrage.</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c>
          <w:tcPr>
            <w:tcW w:type="dxa" w:w="3200"/>
            <w:tcBorders>
              <w:top w:val="single" w:color="000000" w:sz="4"/>
              <w:left w:val="single" w:color="000000" w:sz="4"/>
              <w:bottom w:val="single" w:color="000000" w:sz="4"/>
              <w:right w:val="single" w:color="000000" w:sz="4"/>
            </w:tcBorders>
            <w:vAlign w:val="center"/>
          </w:tcPr>
          <w:p>
            <w:pPr>
              <w:jc w:val="center"/>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95275"/>
                          </a:xfrm>
                          <a:prstGeom prst="rect">
                            <a:avLst/>
                          </a:prstGeom>
                        </pic:spPr>
                      </pic:pic>
                    </a:graphicData>
                  </a:graphic>
                </wp:inline>
              </w:drawing>
            </w:r>
          </w:p>
        </w:tc>
        <w:tc>
          <w:tcPr>
            <w:tcW w:type="dxa" w:w="4238"/>
            <w:tcBorders>
              <w:top w:val="single" w:color="000000" w:sz="4"/>
              <w:left w:val="single" w:color="000000" w:sz="4"/>
              <w:bottom w:val="single" w:color="000000" w:sz="4"/>
              <w:right w:val="single" w:color="000000" w:sz="4"/>
            </w:tcBorders>
            <w:vAlign w:val="center"/>
          </w:tcPr>
          <w:p>
            <w:pPr>
              <w:jc w:val="center"/>
            </w:pPr>
            <w:r>
              <w:rPr>
                <w:b/>
                <w:bCs/>
                <w:color w:val="1F3864"/>
                <w:sz w:val="18"/>
                <w:szCs w:val="18"/>
              </w:rPr>
              <w:t xml:space="preserve">E-GUCE 3G</w:t>
            </w:r>
          </w:p>
          <w:p>
            <w:pPr>
              <w:jc w:val="center"/>
            </w:pPr>
            <w:r>
              <w:rPr>
                <w:b/>
                <w:bCs/>
                <w:color w:val="1F3864"/>
                <w:sz w:val="15"/>
                <w:szCs w:val="15"/>
              </w:rPr>
              <w:t xml:space="preserve">CATALOGUE DES DONNEES – MODELES DE DONNEES</w:t>
            </w:r>
          </w:p>
        </w:tc>
        <w:tc>
          <w:tcPr>
            <w:tcW w:type="dxa" w:w="2200"/>
            <w:tcBorders>
              <w:top w:val="single" w:color="000000" w:sz="4"/>
              <w:left w:val="single" w:color="000000" w:sz="4"/>
              <w:bottom w:val="single" w:color="000000" w:sz="4"/>
              <w:right w:val="single" w:color="000000" w:sz="4"/>
            </w:tcBorders>
            <w:vAlign w:val="center"/>
          </w:tcPr>
          <w:p>
            <w:pPr>
              <w:jc w:val="center"/>
            </w:pPr>
            <w:r>
              <w:rPr>
                <w:b/>
                <w:bCs/>
                <w:sz w:val="20"/>
                <w:szCs w:val="20"/>
              </w:rPr>
              <w:t xml:space="preserve">V1.0</w:t>
            </w:r>
          </w:p>
          <w:p>
            <w:pPr>
              <w:jc w:val="center"/>
            </w:pPr>
            <w:r>
              <w:rPr>
                <w:sz w:val="18"/>
                <w:szCs w:val="18"/>
              </w:rPr>
              <w:t xml:space="preserve">11/04/2025</w:t>
            </w:r>
          </w:p>
        </w:tc>
      </w:tr>
    </w:tbl>
    <w:p>
      <w:pPr>
        <w:pStyle w:val="Heading1"/>
        <w:spacing w:after="200" w:before="400"/>
      </w:pPr>
      <w:r>
        <w:rPr>
          <w:b/>
          <w:bCs/>
          <w:color w:val="1F3864"/>
          <w:sz w:val="26"/>
          <w:szCs w:val="26"/>
        </w:rPr>
        <w:t xml:space="preserve">3. Décisions et actions à mener</w:t>
      </w:r>
    </w:p>
    <w:p>
      <w:pPr>
        <w:spacing w:after="200"/>
        <w:jc w:val="both"/>
      </w:pPr>
      <w:r>
        <w:rPr>
          <w:sz w:val="21"/>
          <w:szCs w:val="21"/>
        </w:rPr>
        <w:t xml:space="preserve">À l'issue de l'atelier, les décisions suivantes ont été actées et les actions associées ont été identifiées.</w:t>
      </w:r>
    </w:p>
    <w:p>
      <w:pPr>
        <w:spacing w:after="150" w:before="200"/>
      </w:pPr>
      <w:r>
        <w:rPr>
          <w:b/>
          <w:bCs/>
          <w:i/>
          <w:iCs/>
          <w:sz w:val="22"/>
          <w:szCs w:val="22"/>
        </w:rPr>
        <w:t xml:space="preserve">3.1 Actions à la charge de GUCE</w:t>
      </w:r>
    </w:p>
    <w:p>
      <w:pPr>
        <w:pStyle w:val="ListParagraph"/>
        <w:numPr>
          <w:ilvl w:val="0"/>
          <w:numId w:val="1"/>
        </w:numPr>
        <w:spacing w:after="120"/>
      </w:pPr>
      <w:r>
        <w:rPr>
          <w:sz w:val="21"/>
          <w:szCs w:val="21"/>
        </w:rPr>
        <w:t xml:space="preserve">Identifier et désigner les référents métier par domaine de données prioritaire.</w:t>
      </w:r>
    </w:p>
    <w:p>
      <w:pPr>
        <w:spacing w:after="150" w:before="250"/>
      </w:pPr>
      <w:r>
        <w:rPr>
          <w:b/>
          <w:bCs/>
          <w:i/>
          <w:iCs/>
          <w:sz w:val="22"/>
          <w:szCs w:val="22"/>
        </w:rPr>
        <w:t xml:space="preserve">3.2 Actions conjointes GUCE / DSI</w:t>
      </w:r>
    </w:p>
    <w:p>
      <w:pPr>
        <w:pStyle w:val="ListParagraph"/>
        <w:numPr>
          <w:ilvl w:val="0"/>
          <w:numId w:val="1"/>
        </w:numPr>
        <w:spacing w:after="120"/>
      </w:pPr>
      <w:r>
        <w:rPr>
          <w:sz w:val="21"/>
          <w:szCs w:val="21"/>
        </w:rPr>
        <w:t xml:space="preserve">Valider le cadre de gouvernance proposé et l'ajuster en fonction de l'organisation interne.</w:t>
      </w:r>
    </w:p>
    <w:p>
      <w:pPr>
        <w:spacing w:after="150" w:before="250"/>
      </w:pPr>
      <w:r>
        <w:rPr>
          <w:b/>
          <w:bCs/>
          <w:i/>
          <w:iCs/>
          <w:sz w:val="22"/>
          <w:szCs w:val="22"/>
        </w:rPr>
        <w:t xml:space="preserve">3.3 Actions à la charge de l'équipe Data</w:t>
      </w:r>
    </w:p>
    <w:p>
      <w:pPr>
        <w:pStyle w:val="ListParagraph"/>
        <w:numPr>
          <w:ilvl w:val="0"/>
          <w:numId w:val="1"/>
        </w:numPr>
        <w:spacing w:after="120"/>
      </w:pPr>
      <w:r>
        <w:rPr>
          <w:sz w:val="21"/>
          <w:szCs w:val="21"/>
        </w:rPr>
        <w:t xml:space="preserve">Formaliser les règles minimales de qualité des données et les proposer pour validation lors du prochain atelier.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tabs>
        <w:tab w:val="right" w:pos="9026"/>
      </w:tabs>
    </w:pPr>
    <w:r>
      <w:rPr>
        <w:i/>
        <w:iCs/>
        <w:sz w:val="18"/>
        <w:szCs w:val="18"/>
      </w:rPr>
      <w:t xml:space="preserve">Composante « BI-BIG DATA »</w:t>
    </w:r>
    <w:r>
      <w:t xml:space="preserv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5f108d1660f08ebcf487a5f2717251d6463897d.jpg"/><Relationship Id="rId9" Type="http://schemas.openxmlformats.org/officeDocument/2006/relationships/image" Target="media/22027cdab1f624624185807b1d7d2b515ad9dea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Wissal Tounsi</dc:creator>
  <cp:lastModifiedBy>Un-named</cp:lastModifiedBy>
  <cp:revision>1</cp:revision>
  <dcterms:created xsi:type="dcterms:W3CDTF">2026-07-03T09:01:24.822Z</dcterms:created>
  <dcterms:modified xsi:type="dcterms:W3CDTF">2026-07-03T09:01:24.822Z</dcterms:modified>
</cp:coreProperties>
</file>

<file path=docProps/custom.xml><?xml version="1.0" encoding="utf-8"?>
<Properties xmlns="http://schemas.openxmlformats.org/officeDocument/2006/custom-properties" xmlns:vt="http://schemas.openxmlformats.org/officeDocument/2006/docPropsVTypes"/>
</file>