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3864"/>
          <w:sz w:val="32"/>
          <w:szCs w:val="32"/>
        </w:rPr>
        <w:t xml:space="preserve">DEVELOPPEMENT DE LA NOUVELLE PLATEFORME E-GUCE 3G</w:t>
      </w:r>
    </w:p>
    <w:p>
      <w:pPr>
        <w:spacing w:after="200"/>
        <w:jc w:val="center"/>
      </w:pPr>
      <w:r>
        <w:rPr>
          <w:b/>
          <w:bCs/>
          <w:color w:val="1F3864"/>
          <w:sz w:val="24"/>
          <w:szCs w:val="24"/>
        </w:rPr>
        <w:t xml:space="preserve">COMPOSANTE BI-BIG DATA</w:t>
      </w:r>
    </w:p>
    <w:p>
      <w:pPr>
        <w:spacing w:after="200"/>
        <w:jc w:val="center"/>
      </w:pPr>
      <w:r>
        <w:rPr>
          <w:b/>
          <w:bCs/>
          <w:color w:val="1F3864"/>
          <w:sz w:val="24"/>
          <w:szCs w:val="24"/>
        </w:rPr>
        <w:t xml:space="preserve">CR synthétique – Atelier interne Data 4 du 25/04/2025 :</w:t>
      </w:r>
    </w:p>
    <w:p>
      <w:pPr>
        <w:spacing w:after="600"/>
        <w:jc w:val="center"/>
      </w:pPr>
      <w:r>
        <w:rPr>
          <w:b/>
          <w:bCs/>
          <w:color w:val="1F3864"/>
          <w:sz w:val="24"/>
          <w:szCs w:val="24"/>
        </w:rPr>
        <w:t xml:space="preserve">Sécurité et accès aux données</w:t>
      </w:r>
    </w:p>
    <w:p>
      <w:pPr>
        <w:spacing w:after="600"/>
        <w:jc w:val="center"/>
      </w:pPr>
      <w:r>
        <w:rPr>
          <w:i/>
          <w:iCs/>
          <w:sz w:val="20"/>
          <w:szCs w:val="20"/>
        </w:rPr>
        <w:t xml:space="preserve">Version 0.1</w:t>
      </w:r>
    </w:p>
    <w:p>
      <w:pPr>
        <w:spacing w:after="200" w:before="1600"/>
        <w:jc w:val="center"/>
      </w:pPr>
      <w:r>
        <w:drawing>
          <wp:inline distT="0" distB="0" distL="0" distR="0">
            <wp:extent cx="28575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85825"/>
                    </a:xfrm>
                    <a:prstGeom prst="rect">
                      <a:avLst/>
                    </a:prstGeom>
                  </pic:spPr>
                </pic:pic>
              </a:graphicData>
            </a:graphic>
          </wp:inline>
        </w:drawing>
      </w:r>
    </w:p>
    <w:p>
      <w:pPr>
        <w:spacing w:after="1600" w:before="400"/>
        <w:jc w:val="center"/>
      </w:pPr>
      <w:r>
        <w:drawing>
          <wp:inline distT="0" distB="0" distL="0" distR="0">
            <wp:extent cx="2095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28625"/>
                    </a:xfrm>
                    <a:prstGeom prst="rect">
                      <a:avLst/>
                    </a:prstGeom>
                  </pic:spPr>
                </pic:pic>
              </a:graphicData>
            </a:graphic>
          </wp:inline>
        </w:drawing>
      </w:r>
    </w:p>
    <w:p>
      <w:pPr>
        <w:spacing w:before="1600"/>
        <w:jc w:val="center"/>
      </w:pPr>
      <w:r>
        <w:rPr>
          <w:sz w:val="20"/>
          <w:szCs w:val="20"/>
        </w:rPr>
        <w:t xml:space="preserve">Avril 2025</w:t>
      </w:r>
    </w:p>
    <w:p>
      <w:pPr>
        <w:sectPr>
          <w:pgSz w:w="11906" w:h="16838" w:orient="portrait"/>
          <w:pgMar w:top="1440" w:right="1440" w:bottom="1440" w:left="1440" w:header="708" w:footer="708"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25/04/2025</w:t>
            </w:r>
          </w:p>
        </w:tc>
      </w:tr>
    </w:tbl>
    <w:p>
      <w:pPr>
        <w:spacing w:after="200" w:before="400"/>
      </w:pPr>
      <w:r>
        <w:rPr>
          <w:b/>
          <w:bCs/>
          <w:color w:val="1F3864"/>
          <w:sz w:val="24"/>
          <w:szCs w:val="24"/>
        </w:rPr>
        <w:t xml:space="preserve">Historique des révisions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1400"/>
        <w:gridCol w:w="1400"/>
        <w:gridCol w:w="1038"/>
      </w:tblGrid>
      <w:tr>
        <w:trPr>
          <w:tblHeader/>
        </w:trPr>
        <w:tc>
          <w:tcPr>
            <w:tcW w:type="dxa" w:w="1200"/>
            <w:shd w:fill="000000" w:val="clear"/>
          </w:tcPr>
          <w:p>
            <w:r>
              <w:rPr>
                <w:b/>
                <w:bCs/>
                <w:color w:val="FFFFFF"/>
                <w:sz w:val="18"/>
                <w:szCs w:val="18"/>
              </w:rPr>
              <w:t xml:space="preserve">Version</w:t>
            </w:r>
          </w:p>
        </w:tc>
        <w:tc>
          <w:tcPr>
            <w:tcW w:type="dxa" w:w="1800"/>
            <w:shd w:fill="000000" w:val="clear"/>
          </w:tcPr>
          <w:p>
            <w:r>
              <w:rPr>
                <w:b/>
                <w:bCs/>
                <w:color w:val="FFFFFF"/>
                <w:sz w:val="18"/>
                <w:szCs w:val="18"/>
              </w:rPr>
              <w:t xml:space="preserve">Modifié par</w:t>
            </w:r>
          </w:p>
        </w:tc>
        <w:tc>
          <w:tcPr>
            <w:tcW w:type="dxa" w:w="2800"/>
            <w:shd w:fill="000000" w:val="clear"/>
          </w:tcPr>
          <w:p>
            <w:r>
              <w:rPr>
                <w:b/>
                <w:bCs/>
                <w:color w:val="FFFFFF"/>
                <w:sz w:val="18"/>
                <w:szCs w:val="18"/>
              </w:rPr>
              <w:t xml:space="preserve">Description</w:t>
            </w:r>
          </w:p>
        </w:tc>
        <w:tc>
          <w:tcPr>
            <w:tcW w:type="dxa" w:w="1400"/>
            <w:shd w:fill="000000" w:val="clear"/>
          </w:tcPr>
          <w:p>
            <w:r>
              <w:rPr>
                <w:b/>
                <w:bCs/>
                <w:color w:val="FFFFFF"/>
                <w:sz w:val="18"/>
                <w:szCs w:val="18"/>
              </w:rPr>
              <w:t xml:space="preserve">Date</w:t>
            </w:r>
          </w:p>
        </w:tc>
        <w:tc>
          <w:tcPr>
            <w:tcW w:type="dxa" w:w="1400"/>
            <w:shd w:fill="000000" w:val="clear"/>
          </w:tcPr>
          <w:p>
            <w:r>
              <w:rPr>
                <w:b/>
                <w:bCs/>
                <w:color w:val="FFFFFF"/>
                <w:sz w:val="18"/>
                <w:szCs w:val="18"/>
              </w:rPr>
              <w:t xml:space="preserve">Validé par</w:t>
            </w:r>
          </w:p>
        </w:tc>
        <w:tc>
          <w:tcPr>
            <w:tcW w:type="dxa" w:w="1038"/>
            <w:shd w:fill="000000" w:val="clear"/>
          </w:tcPr>
          <w:p>
            <w:r>
              <w:rPr>
                <w:b/>
                <w:bCs/>
                <w:color w:val="FFFFFF"/>
                <w:sz w:val="18"/>
                <w:szCs w:val="18"/>
              </w:rPr>
              <w:t xml:space="preserve">Approbateur</w:t>
            </w:r>
          </w:p>
        </w:tc>
      </w:tr>
      <w:tr>
        <w:tc>
          <w:tcPr>
            <w:tcW w:type="dxa" w:w="1200"/>
          </w:tcPr>
          <w:p>
            <w:r>
              <w:rPr>
                <w:sz w:val="18"/>
                <w:szCs w:val="18"/>
              </w:rPr>
              <w:t xml:space="preserve">V0.1</w:t>
            </w:r>
          </w:p>
        </w:tc>
        <w:tc>
          <w:tcPr>
            <w:tcW w:type="dxa" w:w="1800"/>
          </w:tcPr>
          <w:p>
            <w:r>
              <w:rPr>
                <w:sz w:val="18"/>
                <w:szCs w:val="18"/>
              </w:rPr>
              <w:t xml:space="preserve">Wissal Tounsi</w:t>
            </w:r>
          </w:p>
        </w:tc>
        <w:tc>
          <w:tcPr>
            <w:tcW w:type="dxa" w:w="2800"/>
          </w:tcPr>
          <w:p>
            <w:r>
              <w:rPr>
                <w:sz w:val="18"/>
                <w:szCs w:val="18"/>
              </w:rPr>
              <w:t xml:space="preserve">Initiation du document</w:t>
            </w:r>
          </w:p>
        </w:tc>
        <w:tc>
          <w:tcPr>
            <w:tcW w:type="dxa" w:w="1400"/>
          </w:tcPr>
          <w:p>
            <w:r>
              <w:rPr>
                <w:sz w:val="18"/>
                <w:szCs w:val="18"/>
              </w:rPr>
              <w:t xml:space="preserve">25/04/2025</w:t>
            </w:r>
          </w:p>
        </w:tc>
        <w:tc>
          <w:tcPr>
            <w:tcW w:type="dxa" w:w="1400"/>
          </w:tcPr>
          <w:p>
            <w:r>
              <w:rPr>
                <w:sz w:val="18"/>
                <w:szCs w:val="18"/>
              </w:rPr>
              <w:t xml:space="preserve"/>
            </w:r>
          </w:p>
        </w:tc>
        <w:tc>
          <w:tcPr>
            <w:tcW w:type="dxa" w:w="1038"/>
          </w:tcPr>
          <w:p>
            <w:r>
              <w:rPr>
                <w:sz w:val="18"/>
                <w:szCs w:val="18"/>
              </w:rPr>
              <w:t xml:space="preserve"/>
            </w:r>
          </w:p>
        </w:tc>
      </w:tr>
      <w:tr>
        <w:tc>
          <w:tcPr>
            <w:tcW w:type="dxa" w:w="1200"/>
          </w:tcPr>
          <w:p>
            <w:r>
              <w:t xml:space="preserve"/>
            </w:r>
          </w:p>
        </w:tc>
        <w:tc>
          <w:tcPr>
            <w:tcW w:type="dxa" w:w="1800"/>
          </w:tcPr>
          <w:p>
            <w:r>
              <w:t xml:space="preserve"/>
            </w:r>
          </w:p>
        </w:tc>
        <w:tc>
          <w:tcPr>
            <w:tcW w:type="dxa" w:w="2800"/>
          </w:tcPr>
          <w:p>
            <w:r>
              <w:t xml:space="preserve"/>
            </w:r>
          </w:p>
        </w:tc>
        <w:tc>
          <w:tcPr>
            <w:tcW w:type="dxa" w:w="1400"/>
          </w:tcPr>
          <w:p>
            <w:r>
              <w:t xml:space="preserve"/>
            </w:r>
          </w:p>
        </w:tc>
        <w:tc>
          <w:tcPr>
            <w:tcW w:type="dxa" w:w="1400"/>
          </w:tcPr>
          <w:p>
            <w:r>
              <w:t xml:space="preserve"/>
            </w:r>
          </w:p>
        </w:tc>
        <w:tc>
          <w:tcPr>
            <w:tcW w:type="dxa" w:w="1038"/>
          </w:tcPr>
          <w:p>
            <w:r>
              <w:t xml:space="preserve"/>
            </w:r>
          </w:p>
        </w:tc>
      </w:tr>
    </w:tbl>
    <w:p>
      <w:pPr>
        <w:spacing w:after="200" w:before="500"/>
      </w:pPr>
      <w:r>
        <w:rPr>
          <w:b/>
          <w:bCs/>
          <w:color w:val="1F3864"/>
          <w:sz w:val="24"/>
          <w:szCs w:val="24"/>
        </w:rPr>
        <w:t xml:space="preserve">Liste de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tblHeader/>
        </w:trPr>
        <w:tc>
          <w:tcPr>
            <w:tcW w:type="dxa" w:w="3213"/>
            <w:shd w:fill="000000" w:val="clear"/>
          </w:tcPr>
          <w:p>
            <w:pPr>
              <w:jc w:val="center"/>
            </w:pPr>
            <w:r>
              <w:rPr>
                <w:b/>
                <w:bCs/>
                <w:color w:val="FFFFFF"/>
                <w:sz w:val="18"/>
                <w:szCs w:val="18"/>
              </w:rPr>
              <w:t xml:space="preserve">Nom</w:t>
            </w:r>
          </w:p>
        </w:tc>
        <w:tc>
          <w:tcPr>
            <w:tcW w:type="dxa" w:w="3213"/>
            <w:shd w:fill="000000" w:val="clear"/>
          </w:tcPr>
          <w:p>
            <w:pPr>
              <w:jc w:val="center"/>
            </w:pPr>
            <w:r>
              <w:rPr>
                <w:b/>
                <w:bCs/>
                <w:color w:val="FFFFFF"/>
                <w:sz w:val="18"/>
                <w:szCs w:val="18"/>
              </w:rPr>
              <w:t xml:space="preserve">Fonction</w:t>
            </w:r>
          </w:p>
        </w:tc>
        <w:tc>
          <w:tcPr>
            <w:tcW w:type="dxa" w:w="3213"/>
            <w:shd w:fill="000000" w:val="clear"/>
          </w:tcPr>
          <w:p>
            <w:pPr>
              <w:jc w:val="center"/>
            </w:pPr>
            <w:r>
              <w:rPr>
                <w:b/>
                <w:bCs/>
                <w:color w:val="FFFFFF"/>
                <w:sz w:val="18"/>
                <w:szCs w:val="18"/>
              </w:rPr>
              <w:t xml:space="preserve">Date</w:t>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25/04/2025</w:t>
            </w:r>
          </w:p>
        </w:tc>
      </w:tr>
    </w:tbl>
    <w:p>
      <w:pPr>
        <w:spacing w:after="300" w:before="500"/>
        <w:jc w:val="center"/>
      </w:pPr>
      <w:r>
        <w:rPr>
          <w:b/>
          <w:bCs/>
          <w:color w:val="1F3864"/>
          <w:sz w:val="28"/>
          <w:szCs w:val="28"/>
        </w:rPr>
        <w:t xml:space="preserve">SOMMAIRE</w:t>
      </w:r>
    </w:p>
    <w:p>
      <w:pPr>
        <w:spacing w:after="150"/>
      </w:pPr>
      <w:r>
        <w:t xml:space="preserve">1. Objectif de l'atelier ...................................................................................... 4</w:t>
      </w:r>
    </w:p>
    <w:p>
      <w:pPr>
        <w:spacing w:after="150"/>
      </w:pPr>
      <w:r>
        <w:t xml:space="preserve">2. Synthèse des échanges .................................................................................. 4</w:t>
      </w:r>
    </w:p>
    <w:p>
      <w:pPr>
        <w:spacing w:after="150"/>
      </w:pPr>
      <w:r>
        <w:t xml:space="preserve">3. Décisions et actions à mener ......................................................................... 5</w:t>
      </w:r>
    </w:p>
    <w:p>
      <w:pPr>
        <w:spacing w:after="100"/>
        <w:ind w:left="400"/>
      </w:pPr>
      <w:r>
        <w:t xml:space="preserve">3.1 Actions à la charge de GUCE ................................................................... 5</w:t>
      </w:r>
    </w:p>
    <w:p>
      <w:pPr>
        <w:spacing w:after="100"/>
        <w:ind w:left="400"/>
      </w:pPr>
      <w:r>
        <w:t xml:space="preserve">3.2 Actions conjointes GUCE / DSI ................................................................ 5</w:t>
      </w:r>
    </w:p>
    <w:p>
      <w:pPr>
        <w:spacing w:after="100"/>
        <w:ind w:left="400"/>
      </w:pPr>
      <w:r>
        <w:t xml:space="preserve">3.3 Actions à la charge de l'équipe Data ......................................................... 5</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25/04/2025</w:t>
            </w:r>
          </w:p>
        </w:tc>
      </w:tr>
    </w:tbl>
    <w:p>
      <w:pPr>
        <w:pStyle w:val="Heading1"/>
        <w:spacing w:after="200" w:before="400"/>
      </w:pPr>
      <w:r>
        <w:rPr>
          <w:b/>
          <w:bCs/>
          <w:color w:val="1F3864"/>
          <w:sz w:val="26"/>
          <w:szCs w:val="26"/>
        </w:rPr>
        <w:t xml:space="preserve">1. Objectif de l'atelier</w:t>
      </w:r>
    </w:p>
    <w:p>
      <w:pPr>
        <w:spacing w:after="200"/>
        <w:jc w:val="both"/>
      </w:pPr>
      <w:r>
        <w:rPr>
          <w:sz w:val="21"/>
          <w:szCs w:val="21"/>
        </w:rPr>
        <w:t xml:space="preserve">Cet atelier avait pour objectif principal d'aborder les aspects de sécurité liés à l'accès et à la manipulation des données dans le cadre du POC, notamment les exigences de confidentialité et les contraintes réglementaires applicables.</w:t>
      </w:r>
    </w:p>
    <w:p>
      <w:pPr>
        <w:spacing w:after="200"/>
        <w:jc w:val="both"/>
      </w:pPr>
      <w:r>
        <w:rPr>
          <w:sz w:val="21"/>
          <w:szCs w:val="21"/>
        </w:rPr>
        <w:t xml:space="preserve">Il visait également à définir un cadre commun pour l'anonymisation ou la pseudonymisation des données lorsque cela est nécessaire.</w:t>
      </w:r>
    </w:p>
    <w:p>
      <w:pPr>
        <w:pStyle w:val="Heading1"/>
        <w:spacing w:after="200" w:before="300"/>
      </w:pPr>
      <w:r>
        <w:rPr>
          <w:b/>
          <w:bCs/>
          <w:color w:val="1F3864"/>
          <w:sz w:val="26"/>
          <w:szCs w:val="26"/>
        </w:rPr>
        <w:t xml:space="preserve">2. Synthèse des échanges</w:t>
      </w:r>
    </w:p>
    <w:p>
      <w:pPr>
        <w:spacing w:after="200"/>
        <w:jc w:val="both"/>
      </w:pPr>
      <w:r>
        <w:rPr>
          <w:sz w:val="21"/>
          <w:szCs w:val="21"/>
        </w:rPr>
        <w:t xml:space="preserve">L'équipe Data a rappelé les principes généraux de sécurité à appliquer lors de la manipulation de données sensibles, notamment la minimisation des données extraites, le chiffrement des échanges et la traçabilité des accès.</w:t>
      </w:r>
    </w:p>
    <w:p>
      <w:pPr>
        <w:spacing w:after="200"/>
        <w:jc w:val="both"/>
      </w:pPr>
      <w:r>
        <w:rPr>
          <w:sz w:val="21"/>
          <w:szCs w:val="21"/>
        </w:rPr>
        <w:t xml:space="preserve">GUCE a précisé que certaines catégories de données sont soumises à des contraintes réglementaires spécifiques et ne pourront pas être communiquées sous leur forme brute. Il a été convenu que ces données devront faire l'objet d'un traitement de pseudonymisation avant toute mise à disposition pour les besoins du POC.</w:t>
      </w:r>
    </w:p>
    <w:p>
      <w:pPr>
        <w:spacing w:after="200"/>
        <w:jc w:val="both"/>
      </w:pPr>
      <w:r>
        <w:rPr>
          <w:sz w:val="21"/>
          <w:szCs w:val="21"/>
        </w:rPr>
        <w:t xml:space="preserve">Les échanges ont également porté sur les modalités techniques de mise en œuvre de cette pseudonymisation, ainsi que sur la nécessité de documenter précisément le périmètre des données concernées afin d'éviter tout traitement non conforme.</w:t>
      </w:r>
    </w:p>
    <w:p>
      <w:pPr>
        <w:spacing w:after="200"/>
        <w:jc w:val="both"/>
      </w:pPr>
      <w:r>
        <w:rPr>
          <w:sz w:val="21"/>
          <w:szCs w:val="21"/>
        </w:rPr>
        <w:t xml:space="preserve">Enfin, il a été souligné que ces exigences de sécurité devront être intégrées dès la conception du data model et de l'architecture cible, plutôt que d'être traitées a posteriori.</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25/04/2025</w:t>
            </w:r>
          </w:p>
        </w:tc>
      </w:tr>
    </w:tbl>
    <w:p>
      <w:pPr>
        <w:pStyle w:val="Heading1"/>
        <w:spacing w:after="200" w:before="400"/>
      </w:pPr>
      <w:r>
        <w:rPr>
          <w:b/>
          <w:bCs/>
          <w:color w:val="1F3864"/>
          <w:sz w:val="26"/>
          <w:szCs w:val="26"/>
        </w:rPr>
        <w:t xml:space="preserve">3. Décisions et actions à mener</w:t>
      </w:r>
    </w:p>
    <w:p>
      <w:pPr>
        <w:spacing w:after="200"/>
        <w:jc w:val="both"/>
      </w:pPr>
      <w:r>
        <w:rPr>
          <w:sz w:val="21"/>
          <w:szCs w:val="21"/>
        </w:rPr>
        <w:t xml:space="preserve">À l'issue de l'atelier, les décisions suivantes ont été actées et les actions associées ont été identifiées.</w:t>
      </w:r>
    </w:p>
    <w:p>
      <w:pPr>
        <w:spacing w:after="150" w:before="200"/>
      </w:pPr>
      <w:r>
        <w:rPr>
          <w:b/>
          <w:bCs/>
          <w:i/>
          <w:iCs/>
          <w:sz w:val="22"/>
          <w:szCs w:val="22"/>
        </w:rPr>
        <w:t xml:space="preserve">3.1 Actions à la charge de GUCE</w:t>
      </w:r>
    </w:p>
    <w:p>
      <w:pPr>
        <w:pStyle w:val="ListParagraph"/>
        <w:numPr>
          <w:ilvl w:val="0"/>
          <w:numId w:val="1"/>
        </w:numPr>
        <w:spacing w:after="120"/>
      </w:pPr>
      <w:r>
        <w:rPr>
          <w:sz w:val="21"/>
          <w:szCs w:val="21"/>
        </w:rPr>
        <w:t xml:space="preserve">Communiquer la liste des catégories de données soumises à des contraintes réglementaires spécifiques.</w:t>
      </w:r>
    </w:p>
    <w:p>
      <w:pPr>
        <w:spacing w:after="150" w:before="250"/>
      </w:pPr>
      <w:r>
        <w:rPr>
          <w:b/>
          <w:bCs/>
          <w:i/>
          <w:iCs/>
          <w:sz w:val="22"/>
          <w:szCs w:val="22"/>
        </w:rPr>
        <w:t xml:space="preserve">3.2 Actions conjointes GUCE / DSI</w:t>
      </w:r>
    </w:p>
    <w:p>
      <w:pPr>
        <w:pStyle w:val="ListParagraph"/>
        <w:numPr>
          <w:ilvl w:val="0"/>
          <w:numId w:val="1"/>
        </w:numPr>
        <w:spacing w:after="120"/>
      </w:pPr>
      <w:r>
        <w:rPr>
          <w:sz w:val="21"/>
          <w:szCs w:val="21"/>
        </w:rPr>
        <w:t xml:space="preserve">Définir conjointement le processus et les outils de pseudonymisation à mettre en œuvre.</w:t>
      </w:r>
    </w:p>
    <w:p>
      <w:pPr>
        <w:spacing w:after="150" w:before="250"/>
      </w:pPr>
      <w:r>
        <w:rPr>
          <w:b/>
          <w:bCs/>
          <w:i/>
          <w:iCs/>
          <w:sz w:val="22"/>
          <w:szCs w:val="22"/>
        </w:rPr>
        <w:t xml:space="preserve">3.3 Actions à la charge de l'équipe Data</w:t>
      </w:r>
    </w:p>
    <w:p>
      <w:pPr>
        <w:pStyle w:val="ListParagraph"/>
        <w:numPr>
          <w:ilvl w:val="0"/>
          <w:numId w:val="1"/>
        </w:numPr>
        <w:spacing w:after="120"/>
      </w:pPr>
      <w:r>
        <w:rPr>
          <w:sz w:val="21"/>
          <w:szCs w:val="21"/>
        </w:rPr>
        <w:t xml:space="preserve">Intégrer les exigences de sécurité et de pseudonymisation dans la prochaine version du data model.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tabs>
        <w:tab w:val="right" w:pos="9026"/>
      </w:tabs>
    </w:pPr>
    <w:r>
      <w:rPr>
        <w:i/>
        <w:iCs/>
        <w:sz w:val="18"/>
        <w:szCs w:val="18"/>
      </w:rPr>
      <w:t xml:space="preserve">Composante « BI-BIG DATA »</w:t>
    </w:r>
    <w:r>
      <w:t xml:space="preserv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f108d1660f08ebcf487a5f2717251d6463897d.jpg"/><Relationship Id="rId9" Type="http://schemas.openxmlformats.org/officeDocument/2006/relationships/image" Target="media/22027cdab1f624624185807b1d7d2b515ad9de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Wissal Tounsi</dc:creator>
  <cp:lastModifiedBy>Un-named</cp:lastModifiedBy>
  <cp:revision>1</cp:revision>
  <dcterms:created xsi:type="dcterms:W3CDTF">2026-07-03T09:01:24.850Z</dcterms:created>
  <dcterms:modified xsi:type="dcterms:W3CDTF">2026-07-03T09:01:24.850Z</dcterms:modified>
</cp:coreProperties>
</file>

<file path=docProps/custom.xml><?xml version="1.0" encoding="utf-8"?>
<Properties xmlns="http://schemas.openxmlformats.org/officeDocument/2006/custom-properties" xmlns:vt="http://schemas.openxmlformats.org/officeDocument/2006/docPropsVTypes"/>
</file>